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43250">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6480E3DE">
      <w:pPr>
        <w:spacing w:line="360" w:lineRule="auto"/>
        <w:jc w:val="center"/>
        <w:rPr>
          <w:rFonts w:hint="eastAsia" w:ascii="仿宋_GB2312" w:hAnsi="仿宋_GB2312" w:eastAsia="仿宋_GB2312" w:cs="仿宋_GB2312"/>
          <w:sz w:val="28"/>
          <w:szCs w:val="28"/>
        </w:rPr>
      </w:pPr>
    </w:p>
    <w:p w14:paraId="69E79392">
      <w:pPr>
        <w:spacing w:line="360" w:lineRule="auto"/>
        <w:jc w:val="center"/>
        <w:rPr>
          <w:rFonts w:hint="eastAsia" w:ascii="方正公文小标宋" w:hAnsi="方正公文小标宋" w:eastAsia="方正公文小标宋" w:cs="方正公文小标宋"/>
          <w:b/>
          <w:bCs/>
          <w:sz w:val="32"/>
          <w:szCs w:val="32"/>
        </w:rPr>
      </w:pPr>
      <w:r>
        <w:rPr>
          <w:rFonts w:hint="eastAsia" w:ascii="方正公文小标宋" w:hAnsi="方正公文小标宋" w:eastAsia="方正公文小标宋" w:cs="方正公文小标宋"/>
          <w:b/>
          <w:bCs/>
          <w:sz w:val="32"/>
          <w:szCs w:val="32"/>
        </w:rPr>
        <w:t>【  有限</w:t>
      </w:r>
      <w:r>
        <w:rPr>
          <w:rFonts w:hint="eastAsia" w:ascii="方正公文小标宋" w:hAnsi="方正公文小标宋" w:eastAsia="方正公文小标宋" w:cs="方正公文小标宋"/>
          <w:b/>
          <w:bCs/>
          <w:sz w:val="32"/>
          <w:szCs w:val="32"/>
          <w:lang w:eastAsia="zh-Hans"/>
        </w:rPr>
        <w:t>责任</w:t>
      </w:r>
      <w:r>
        <w:rPr>
          <w:rFonts w:hint="eastAsia" w:ascii="方正公文小标宋" w:hAnsi="方正公文小标宋" w:eastAsia="方正公文小标宋" w:cs="方正公文小标宋"/>
          <w:b/>
          <w:bCs/>
          <w:sz w:val="32"/>
          <w:szCs w:val="32"/>
        </w:rPr>
        <w:t>】公司章程</w:t>
      </w:r>
    </w:p>
    <w:p w14:paraId="29C8E62C">
      <w:pPr>
        <w:wordWrap w:val="0"/>
        <w:topLinePunct/>
        <w:ind w:firstLine="0" w:firstLineChars="0"/>
        <w:rPr>
          <w:rFonts w:hint="eastAsia" w:ascii="方正黑体_GBK" w:hAnsi="方正黑体_GBK" w:eastAsia="方正黑体_GBK" w:cs="方正黑体_GBK"/>
          <w:b w:val="0"/>
          <w:bCs w:val="0"/>
          <w:sz w:val="28"/>
          <w:szCs w:val="28"/>
          <w:lang w:eastAsia="zh-CN"/>
        </w:rPr>
      </w:pPr>
    </w:p>
    <w:p w14:paraId="354F2203">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第一章 总 则</w:t>
      </w:r>
    </w:p>
    <w:p w14:paraId="15B72168">
      <w:pPr>
        <w:spacing w:line="360" w:lineRule="auto"/>
        <w:rPr>
          <w:rFonts w:hint="eastAsia" w:ascii="仿宋_GB2312" w:hAnsi="仿宋_GB2312" w:eastAsia="仿宋_GB2312" w:cs="仿宋_GB2312"/>
          <w:sz w:val="28"/>
          <w:szCs w:val="28"/>
        </w:rPr>
      </w:pPr>
    </w:p>
    <w:p w14:paraId="678B38F2">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第一条  为规范公司的组织和行为，保护公司、股东和债权人的合法权益，维护社会经济秩序，促进社会主义市场经济的发展，依据《中华人民共和国公司法》（以下简称《公司法》）、《中华人民共和国市场主体登记管理条例》及其他有关法律、行政法规的规定，由股东共同制定本章程。</w:t>
      </w:r>
    </w:p>
    <w:p w14:paraId="1E3E3F2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第二条  公司由股东出资设立。股东以其认缴的出资额为限对公司承担责任，公司以其全部财产对公司的债务承担责任。公司享有由股东投资形成的法人财产权，依法享有民事权利，承担民事责任，具有法人资格。</w:t>
      </w:r>
    </w:p>
    <w:p w14:paraId="59D65B87">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三</w:t>
      </w:r>
      <w:r>
        <w:rPr>
          <w:rFonts w:hint="eastAsia" w:ascii="仿宋_GB2312" w:hAnsi="仿宋_GB2312" w:eastAsia="仿宋_GB2312" w:cs="仿宋_GB2312"/>
          <w:sz w:val="28"/>
          <w:szCs w:val="28"/>
        </w:rPr>
        <w:t>条  本章程所称高级管理人员是指公司的经理、副经理、财务负责人以及本章程规定的其他人员。公司根据实际情况，在必要时可以设立其他高级管理人员职位，其产生办法、职责和权限由股东决定或由本章程修正案规定。</w:t>
      </w:r>
    </w:p>
    <w:p w14:paraId="32A6F781">
      <w:pPr>
        <w:spacing w:line="360" w:lineRule="auto"/>
        <w:jc w:val="center"/>
        <w:rPr>
          <w:rFonts w:hint="eastAsia" w:ascii="仿宋_GB2312" w:hAnsi="仿宋_GB2312" w:eastAsia="仿宋_GB2312" w:cs="仿宋_GB2312"/>
          <w:sz w:val="28"/>
          <w:szCs w:val="28"/>
        </w:rPr>
      </w:pPr>
    </w:p>
    <w:p w14:paraId="01606B81">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第二章 公司名称和住所</w:t>
      </w:r>
    </w:p>
    <w:p w14:paraId="4A09C652">
      <w:pPr>
        <w:spacing w:line="360" w:lineRule="auto"/>
        <w:jc w:val="center"/>
        <w:rPr>
          <w:rFonts w:hint="eastAsia" w:ascii="仿宋_GB2312" w:hAnsi="仿宋_GB2312" w:eastAsia="仿宋_GB2312" w:cs="仿宋_GB2312"/>
          <w:sz w:val="28"/>
          <w:szCs w:val="28"/>
        </w:rPr>
      </w:pPr>
    </w:p>
    <w:p w14:paraId="2074ABC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四</w:t>
      </w:r>
      <w:r>
        <w:rPr>
          <w:rFonts w:hint="eastAsia" w:ascii="仿宋_GB2312" w:hAnsi="仿宋_GB2312" w:eastAsia="仿宋_GB2312" w:cs="仿宋_GB2312"/>
          <w:sz w:val="28"/>
          <w:szCs w:val="28"/>
        </w:rPr>
        <w:t>条  公司名称：【  】</w:t>
      </w:r>
    </w:p>
    <w:p w14:paraId="5B8D39D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五</w:t>
      </w:r>
      <w:r>
        <w:rPr>
          <w:rFonts w:hint="eastAsia" w:ascii="仿宋_GB2312" w:hAnsi="仿宋_GB2312" w:eastAsia="仿宋_GB2312" w:cs="仿宋_GB2312"/>
          <w:sz w:val="28"/>
          <w:szCs w:val="28"/>
        </w:rPr>
        <w:t>条  公司住所：【  】</w:t>
      </w:r>
    </w:p>
    <w:p w14:paraId="1848FD81">
      <w:pPr>
        <w:spacing w:line="360" w:lineRule="auto"/>
        <w:jc w:val="center"/>
        <w:rPr>
          <w:rFonts w:hint="eastAsia" w:ascii="仿宋_GB2312" w:hAnsi="仿宋_GB2312" w:eastAsia="仿宋_GB2312" w:cs="仿宋_GB2312"/>
          <w:sz w:val="28"/>
          <w:szCs w:val="28"/>
        </w:rPr>
      </w:pPr>
    </w:p>
    <w:p w14:paraId="79806AFC">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第三章 公司经营范围</w:t>
      </w:r>
    </w:p>
    <w:p w14:paraId="2166E035">
      <w:pPr>
        <w:spacing w:line="360" w:lineRule="auto"/>
        <w:ind w:firstLine="560" w:firstLineChars="200"/>
        <w:rPr>
          <w:rFonts w:hint="eastAsia" w:ascii="仿宋_GB2312" w:hAnsi="仿宋_GB2312" w:eastAsia="仿宋_GB2312" w:cs="仿宋_GB2312"/>
          <w:sz w:val="28"/>
          <w:szCs w:val="28"/>
        </w:rPr>
      </w:pPr>
    </w:p>
    <w:p w14:paraId="579BDB0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六</w:t>
      </w:r>
      <w:r>
        <w:rPr>
          <w:rFonts w:hint="eastAsia" w:ascii="仿宋_GB2312" w:hAnsi="仿宋_GB2312" w:eastAsia="仿宋_GB2312" w:cs="仿宋_GB2312"/>
          <w:sz w:val="28"/>
          <w:szCs w:val="28"/>
        </w:rPr>
        <w:t>条  公司的经营范围遵循合法、合规、符合国家产业政策的原则，以市场监督管理机关核准登记的内容为准。公司经营范围中属于法律、行政法规或者国务院决定规定须经批准的项目，应当依法经过批准后方可开展相关经营活动。公司的具体经营范围如下：【  】</w:t>
      </w:r>
    </w:p>
    <w:p w14:paraId="65F585F2">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七</w:t>
      </w:r>
      <w:r>
        <w:rPr>
          <w:rFonts w:hint="eastAsia" w:ascii="仿宋_GB2312" w:hAnsi="仿宋_GB2312" w:eastAsia="仿宋_GB2312" w:cs="仿宋_GB2312"/>
          <w:sz w:val="28"/>
          <w:szCs w:val="28"/>
        </w:rPr>
        <w:t>条  公司可以改变经营范围，但必须依照法定程序修改本章程，并经公司登记机关核准变更登记后方可开展经营活动。公司的经营范围中包含属于法律、法规规定须经前置许可的项目，应当在取得许可并办理经营范围变更登记后从事经营活动。公司经营范围中属于法律、行政法规规定须经批准的项目被吊销、撤销许可证或者其他批准文件，或者许可证、其他批准文件有效期届满的，应当自吊销、撤销或者有效期届满之日起停止从事该项经营活动，并依法向公司登记机关申请办理经营范围变更登记或者注销登记。</w:t>
      </w:r>
    </w:p>
    <w:p w14:paraId="4F965187">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Hans"/>
        </w:rPr>
        <w:t>第八</w:t>
      </w:r>
      <w:r>
        <w:rPr>
          <w:rFonts w:hint="eastAsia" w:ascii="仿宋_GB2312" w:hAnsi="仿宋_GB2312" w:eastAsia="仿宋_GB2312" w:cs="仿宋_GB2312"/>
          <w:sz w:val="28"/>
          <w:szCs w:val="28"/>
        </w:rPr>
        <w:t>条  公司在秉持主业的同时，可根据市场需求和自身发展能力，依法投资其他行业或领域，调整经营策略，但需符合国家法律法规和本章程的规定。</w:t>
      </w:r>
    </w:p>
    <w:p w14:paraId="6556FBAE">
      <w:pPr>
        <w:spacing w:line="360" w:lineRule="auto"/>
        <w:jc w:val="center"/>
        <w:rPr>
          <w:rFonts w:hint="eastAsia" w:ascii="仿宋_GB2312" w:hAnsi="仿宋_GB2312" w:eastAsia="仿宋_GB2312" w:cs="仿宋_GB2312"/>
          <w:sz w:val="28"/>
          <w:szCs w:val="28"/>
        </w:rPr>
      </w:pPr>
    </w:p>
    <w:p w14:paraId="1F2EB5E7">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第四章 公司注册资本、</w:t>
      </w:r>
      <w:r>
        <w:rPr>
          <w:rFonts w:hint="eastAsia" w:ascii="仿宋_GB2312" w:hAnsi="仿宋_GB2312" w:eastAsia="仿宋_GB2312" w:cs="仿宋_GB2312"/>
          <w:b/>
          <w:bCs/>
          <w:sz w:val="28"/>
          <w:szCs w:val="28"/>
          <w:lang w:eastAsia="zh-Hans"/>
        </w:rPr>
        <w:t>股东的姓名、</w:t>
      </w:r>
      <w:r>
        <w:rPr>
          <w:rFonts w:hint="eastAsia" w:ascii="仿宋_GB2312" w:hAnsi="仿宋_GB2312" w:eastAsia="仿宋_GB2312" w:cs="仿宋_GB2312"/>
          <w:b/>
          <w:bCs/>
          <w:sz w:val="28"/>
          <w:szCs w:val="28"/>
        </w:rPr>
        <w:t>出资方式、出资额和出资时间</w:t>
      </w:r>
    </w:p>
    <w:p w14:paraId="5B8142A7">
      <w:pPr>
        <w:spacing w:line="360" w:lineRule="auto"/>
        <w:ind w:firstLine="560" w:firstLineChars="200"/>
        <w:rPr>
          <w:rFonts w:hint="eastAsia" w:ascii="仿宋_GB2312" w:hAnsi="仿宋_GB2312" w:eastAsia="仿宋_GB2312" w:cs="仿宋_GB2312"/>
          <w:sz w:val="28"/>
          <w:szCs w:val="28"/>
        </w:rPr>
      </w:pPr>
    </w:p>
    <w:p w14:paraId="3E38C6B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九</w:t>
      </w:r>
      <w:r>
        <w:rPr>
          <w:rFonts w:hint="eastAsia" w:ascii="仿宋_GB2312" w:hAnsi="仿宋_GB2312" w:eastAsia="仿宋_GB2312" w:cs="仿宋_GB2312"/>
          <w:sz w:val="28"/>
          <w:szCs w:val="28"/>
        </w:rPr>
        <w:t>条  公司注册资本为人民币【  】元。公司注册资本为在公司登记机关登记的全体股东认缴的出资额。</w:t>
      </w:r>
    </w:p>
    <w:p w14:paraId="0715C1EE">
      <w:pPr>
        <w:spacing w:line="360" w:lineRule="auto"/>
        <w:ind w:firstLine="560" w:firstLineChars="200"/>
        <w:rPr>
          <w:rFonts w:hint="eastAsia" w:ascii="仿宋_GB2312" w:hAnsi="仿宋_GB2312" w:eastAsia="仿宋_GB2312" w:cs="仿宋_GB2312"/>
          <w:sz w:val="28"/>
          <w:szCs w:val="28"/>
          <w:lang w:eastAsia="zh-Hans"/>
        </w:rPr>
      </w:pPr>
      <w:r>
        <w:rPr>
          <w:rFonts w:hint="eastAsia" w:ascii="仿宋_GB2312" w:hAnsi="仿宋_GB2312" w:eastAsia="仿宋_GB2312" w:cs="仿宋_GB2312"/>
          <w:sz w:val="28"/>
          <w:szCs w:val="28"/>
          <w:lang w:eastAsia="zh-Hans"/>
        </w:rPr>
        <w:t>第十条  公司以法定公积金转增为注册资本的，公司所留存的该项公积金不得少于转增前公司注册资本的25%。</w:t>
      </w:r>
    </w:p>
    <w:p w14:paraId="0D834163">
      <w:pPr>
        <w:spacing w:line="360" w:lineRule="auto"/>
        <w:ind w:firstLine="560" w:firstLineChars="200"/>
        <w:rPr>
          <w:rFonts w:hint="eastAsia" w:ascii="仿宋_GB2312" w:hAnsi="仿宋_GB2312" w:eastAsia="仿宋_GB2312" w:cs="仿宋_GB2312"/>
          <w:sz w:val="28"/>
          <w:szCs w:val="28"/>
          <w:lang w:eastAsia="zh-Hans"/>
        </w:rPr>
      </w:pPr>
      <w:r>
        <w:rPr>
          <w:rFonts w:hint="eastAsia" w:ascii="仿宋_GB2312" w:hAnsi="仿宋_GB2312" w:eastAsia="仿宋_GB2312" w:cs="仿宋_GB2312"/>
          <w:sz w:val="28"/>
          <w:szCs w:val="28"/>
          <w:lang w:eastAsia="zh-Hans"/>
        </w:rPr>
        <w:t>公司减少注册资本，应当编制资产负债表及财产清单，并自股东会作出减少注册资本决议之日起十日内通知债权人、三十日内在报纸上或者国家企业信用信息公示系统公告。</w:t>
      </w:r>
      <w:r>
        <w:rPr>
          <w:rFonts w:hint="eastAsia" w:ascii="仿宋_GB2312" w:hAnsi="仿宋_GB2312" w:eastAsia="仿宋_GB2312" w:cs="仿宋_GB2312"/>
          <w:sz w:val="28"/>
          <w:szCs w:val="28"/>
        </w:rPr>
        <w:t>公司</w:t>
      </w:r>
      <w:r>
        <w:rPr>
          <w:rFonts w:hint="eastAsia" w:ascii="仿宋_GB2312" w:hAnsi="仿宋_GB2312" w:eastAsia="仿宋_GB2312" w:cs="仿宋_GB2312"/>
          <w:sz w:val="28"/>
          <w:szCs w:val="28"/>
          <w:lang w:eastAsia="zh-Hans"/>
        </w:rPr>
        <w:t>自公告之日起45日后方可申请变更登记。</w:t>
      </w:r>
    </w:p>
    <w:p w14:paraId="127D0D26">
      <w:pPr>
        <w:spacing w:line="360" w:lineRule="auto"/>
        <w:ind w:firstLine="560" w:firstLineChars="200"/>
        <w:rPr>
          <w:rFonts w:hint="eastAsia" w:ascii="仿宋_GB2312" w:hAnsi="仿宋_GB2312" w:eastAsia="仿宋_GB2312" w:cs="仿宋_GB2312"/>
          <w:sz w:val="28"/>
          <w:szCs w:val="28"/>
          <w:lang w:eastAsia="zh-Hans"/>
        </w:rPr>
      </w:pPr>
      <w:r>
        <w:rPr>
          <w:rFonts w:hint="eastAsia" w:ascii="仿宋_GB2312" w:hAnsi="仿宋_GB2312" w:eastAsia="仿宋_GB2312" w:cs="仿宋_GB2312"/>
          <w:sz w:val="28"/>
          <w:szCs w:val="28"/>
          <w:lang w:eastAsia="zh-Hans"/>
        </w:rPr>
        <w:t>公司增加或者减少注册资本，应当依法向公司登记机关办理变更登记。</w:t>
      </w:r>
    </w:p>
    <w:p w14:paraId="070E41E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一</w:t>
      </w:r>
      <w:r>
        <w:rPr>
          <w:rFonts w:hint="eastAsia" w:ascii="仿宋_GB2312" w:hAnsi="仿宋_GB2312" w:eastAsia="仿宋_GB2312" w:cs="仿宋_GB2312"/>
          <w:sz w:val="28"/>
          <w:szCs w:val="28"/>
        </w:rPr>
        <w:t>条  股东的名称、认缴出资额、出资方式、出资时间如下：</w:t>
      </w:r>
    </w:p>
    <w:tbl>
      <w:tblPr>
        <w:tblStyle w:val="5"/>
        <w:tblW w:w="487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1985"/>
        <w:gridCol w:w="1138"/>
        <w:gridCol w:w="850"/>
        <w:gridCol w:w="1413"/>
        <w:gridCol w:w="1133"/>
      </w:tblGrid>
      <w:tr w14:paraId="29E23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7" w:type="pct"/>
            <w:tcBorders>
              <w:top w:val="single" w:color="000000" w:sz="4" w:space="0"/>
              <w:left w:val="single" w:color="000000" w:sz="4" w:space="0"/>
              <w:bottom w:val="single" w:color="000000" w:sz="4" w:space="0"/>
              <w:right w:val="single" w:color="000000" w:sz="4" w:space="0"/>
            </w:tcBorders>
            <w:vAlign w:val="center"/>
          </w:tcPr>
          <w:p w14:paraId="151FB0C5">
            <w:pPr>
              <w:pStyle w:val="2"/>
              <w:tabs>
                <w:tab w:val="center" w:pos="4153"/>
                <w:tab w:val="right" w:pos="8306"/>
              </w:tabs>
              <w:snapToGrid w:val="0"/>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股东</w:t>
            </w:r>
            <w:r>
              <w:rPr>
                <w:rFonts w:hint="eastAsia" w:ascii="仿宋_GB2312" w:hAnsi="仿宋_GB2312" w:eastAsia="仿宋_GB2312" w:cs="仿宋_GB2312"/>
                <w:sz w:val="21"/>
                <w:szCs w:val="21"/>
                <w:lang w:eastAsia="zh-Hans"/>
              </w:rPr>
              <w:t>名称</w:t>
            </w:r>
          </w:p>
        </w:tc>
        <w:tc>
          <w:tcPr>
            <w:tcW w:w="1167" w:type="pct"/>
            <w:tcBorders>
              <w:top w:val="single" w:color="000000" w:sz="4" w:space="0"/>
              <w:left w:val="single" w:color="000000" w:sz="4" w:space="0"/>
              <w:bottom w:val="single" w:color="000000" w:sz="4" w:space="0"/>
              <w:right w:val="single" w:color="000000" w:sz="4" w:space="0"/>
            </w:tcBorders>
            <w:vAlign w:val="center"/>
          </w:tcPr>
          <w:p w14:paraId="7CDD33FF">
            <w:pPr>
              <w:pStyle w:val="2"/>
              <w:tabs>
                <w:tab w:val="center" w:pos="4153"/>
                <w:tab w:val="right" w:pos="8306"/>
              </w:tabs>
              <w:snapToGrid w:val="0"/>
              <w:spacing w:line="240" w:lineRule="auto"/>
              <w:jc w:val="center"/>
              <w:rPr>
                <w:rFonts w:hint="eastAsia" w:ascii="仿宋_GB2312" w:hAnsi="仿宋_GB2312" w:eastAsia="仿宋_GB2312" w:cs="仿宋_GB2312"/>
                <w:sz w:val="21"/>
                <w:szCs w:val="21"/>
                <w:lang w:eastAsia="zh-Hans"/>
              </w:rPr>
            </w:pPr>
            <w:r>
              <w:rPr>
                <w:rFonts w:hint="eastAsia" w:ascii="仿宋_GB2312" w:hAnsi="仿宋_GB2312" w:eastAsia="仿宋_GB2312" w:cs="仿宋_GB2312"/>
                <w:sz w:val="21"/>
                <w:szCs w:val="21"/>
                <w:lang w:eastAsia="zh-Hans"/>
              </w:rPr>
              <w:t>证件号码</w:t>
            </w:r>
          </w:p>
        </w:tc>
        <w:tc>
          <w:tcPr>
            <w:tcW w:w="669" w:type="pct"/>
            <w:tcBorders>
              <w:top w:val="single" w:color="000000" w:sz="4" w:space="0"/>
              <w:left w:val="single" w:color="000000" w:sz="4" w:space="0"/>
              <w:bottom w:val="single" w:color="000000" w:sz="4" w:space="0"/>
              <w:right w:val="single" w:color="000000" w:sz="4" w:space="0"/>
            </w:tcBorders>
            <w:vAlign w:val="center"/>
          </w:tcPr>
          <w:p w14:paraId="58B417FF">
            <w:pPr>
              <w:pStyle w:val="2"/>
              <w:tabs>
                <w:tab w:val="center" w:pos="4153"/>
                <w:tab w:val="right" w:pos="8306"/>
              </w:tabs>
              <w:snapToGrid w:val="0"/>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认缴</w:t>
            </w:r>
          </w:p>
          <w:p w14:paraId="62D76366">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出资额</w:t>
            </w:r>
          </w:p>
        </w:tc>
        <w:tc>
          <w:tcPr>
            <w:tcW w:w="500" w:type="pct"/>
            <w:tcBorders>
              <w:top w:val="single" w:color="000000" w:sz="4" w:space="0"/>
              <w:left w:val="single" w:color="000000" w:sz="4" w:space="0"/>
              <w:bottom w:val="single" w:color="000000" w:sz="4" w:space="0"/>
              <w:right w:val="single" w:color="000000" w:sz="4" w:space="0"/>
            </w:tcBorders>
            <w:vAlign w:val="center"/>
          </w:tcPr>
          <w:p w14:paraId="4720FCB3">
            <w:pPr>
              <w:pStyle w:val="2"/>
              <w:tabs>
                <w:tab w:val="center" w:pos="4153"/>
                <w:tab w:val="right" w:pos="8306"/>
              </w:tabs>
              <w:snapToGrid w:val="0"/>
              <w:jc w:val="center"/>
              <w:rPr>
                <w:rFonts w:ascii="仿宋_GB2312" w:hAnsi="仿宋_GB2312" w:eastAsia="仿宋_GB2312" w:cs="仿宋_GB2312"/>
              </w:rPr>
            </w:pPr>
            <w:r>
              <w:rPr>
                <w:rFonts w:hint="eastAsia" w:ascii="仿宋_GB2312" w:hAnsi="仿宋_GB2312" w:eastAsia="仿宋_GB2312" w:cs="仿宋_GB2312"/>
                <w:sz w:val="21"/>
                <w:szCs w:val="21"/>
              </w:rPr>
              <w:t>出资</w:t>
            </w:r>
          </w:p>
          <w:p w14:paraId="3EE0CE39">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方式</w:t>
            </w:r>
          </w:p>
        </w:tc>
        <w:tc>
          <w:tcPr>
            <w:tcW w:w="831" w:type="pct"/>
            <w:tcBorders>
              <w:top w:val="single" w:color="000000" w:sz="4" w:space="0"/>
              <w:left w:val="single" w:color="000000" w:sz="4" w:space="0"/>
              <w:bottom w:val="single" w:color="000000" w:sz="4" w:space="0"/>
              <w:right w:val="single" w:color="000000" w:sz="4" w:space="0"/>
            </w:tcBorders>
            <w:vAlign w:val="center"/>
          </w:tcPr>
          <w:p w14:paraId="11A9CFE5">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出资</w:t>
            </w:r>
            <w:r>
              <w:rPr>
                <w:rFonts w:hint="eastAsia" w:ascii="仿宋_GB2312" w:hAnsi="仿宋_GB2312" w:eastAsia="仿宋_GB2312" w:cs="仿宋_GB2312"/>
                <w:sz w:val="21"/>
                <w:szCs w:val="21"/>
                <w:lang w:eastAsia="zh-Hans"/>
              </w:rPr>
              <w:t>时间</w:t>
            </w:r>
          </w:p>
        </w:tc>
        <w:tc>
          <w:tcPr>
            <w:tcW w:w="666" w:type="pct"/>
            <w:tcBorders>
              <w:top w:val="single" w:color="000000" w:sz="4" w:space="0"/>
              <w:left w:val="single" w:color="000000" w:sz="4" w:space="0"/>
              <w:bottom w:val="single" w:color="000000" w:sz="4" w:space="0"/>
              <w:right w:val="single" w:color="000000" w:sz="4" w:space="0"/>
            </w:tcBorders>
            <w:vAlign w:val="center"/>
          </w:tcPr>
          <w:p w14:paraId="13CFCF23">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r>
              <w:rPr>
                <w:rFonts w:hint="eastAsia" w:ascii="仿宋_GB2312" w:hAnsi="仿宋_GB2312" w:eastAsia="仿宋_GB2312" w:cs="仿宋_GB2312"/>
                <w:sz w:val="21"/>
                <w:szCs w:val="21"/>
                <w:lang w:eastAsia="zh-Hans"/>
              </w:rPr>
              <w:t>持股比例</w:t>
            </w:r>
          </w:p>
        </w:tc>
      </w:tr>
      <w:tr w14:paraId="0B4A0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7" w:type="pct"/>
            <w:tcBorders>
              <w:top w:val="single" w:color="000000" w:sz="4" w:space="0"/>
              <w:left w:val="single" w:color="000000" w:sz="4" w:space="0"/>
              <w:bottom w:val="single" w:color="000000" w:sz="4" w:space="0"/>
              <w:right w:val="single" w:color="000000" w:sz="4" w:space="0"/>
            </w:tcBorders>
            <w:vAlign w:val="center"/>
          </w:tcPr>
          <w:p w14:paraId="4C5392D0">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1167" w:type="pct"/>
            <w:tcBorders>
              <w:top w:val="single" w:color="000000" w:sz="4" w:space="0"/>
              <w:left w:val="single" w:color="000000" w:sz="4" w:space="0"/>
              <w:bottom w:val="single" w:color="000000" w:sz="4" w:space="0"/>
              <w:right w:val="single" w:color="000000" w:sz="4" w:space="0"/>
            </w:tcBorders>
            <w:vAlign w:val="center"/>
          </w:tcPr>
          <w:p w14:paraId="26D2F317">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669" w:type="pct"/>
            <w:tcBorders>
              <w:top w:val="single" w:color="000000" w:sz="4" w:space="0"/>
              <w:left w:val="single" w:color="000000" w:sz="4" w:space="0"/>
              <w:bottom w:val="single" w:color="000000" w:sz="4" w:space="0"/>
              <w:right w:val="single" w:color="000000" w:sz="4" w:space="0"/>
            </w:tcBorders>
            <w:vAlign w:val="center"/>
          </w:tcPr>
          <w:p w14:paraId="52569E36">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500" w:type="pct"/>
            <w:tcBorders>
              <w:top w:val="single" w:color="000000" w:sz="4" w:space="0"/>
              <w:left w:val="single" w:color="000000" w:sz="4" w:space="0"/>
              <w:bottom w:val="single" w:color="000000" w:sz="4" w:space="0"/>
              <w:right w:val="single" w:color="000000" w:sz="4" w:space="0"/>
            </w:tcBorders>
            <w:vAlign w:val="center"/>
          </w:tcPr>
          <w:p w14:paraId="58922019">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831" w:type="pct"/>
            <w:tcBorders>
              <w:top w:val="single" w:color="000000" w:sz="4" w:space="0"/>
              <w:left w:val="single" w:color="000000" w:sz="4" w:space="0"/>
              <w:bottom w:val="single" w:color="000000" w:sz="4" w:space="0"/>
              <w:right w:val="single" w:color="000000" w:sz="4" w:space="0"/>
            </w:tcBorders>
            <w:vAlign w:val="center"/>
          </w:tcPr>
          <w:p w14:paraId="45E806A6">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666" w:type="pct"/>
            <w:tcBorders>
              <w:top w:val="single" w:color="000000" w:sz="4" w:space="0"/>
              <w:left w:val="single" w:color="000000" w:sz="4" w:space="0"/>
              <w:bottom w:val="single" w:color="000000" w:sz="4" w:space="0"/>
              <w:right w:val="single" w:color="000000" w:sz="4" w:space="0"/>
            </w:tcBorders>
            <w:vAlign w:val="center"/>
          </w:tcPr>
          <w:p w14:paraId="64E4DF8E">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r>
      <w:tr w14:paraId="4D9AF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7" w:type="pct"/>
            <w:tcBorders>
              <w:top w:val="single" w:color="000000" w:sz="4" w:space="0"/>
              <w:left w:val="single" w:color="000000" w:sz="4" w:space="0"/>
              <w:bottom w:val="single" w:color="000000" w:sz="4" w:space="0"/>
              <w:right w:val="single" w:color="000000" w:sz="4" w:space="0"/>
            </w:tcBorders>
            <w:vAlign w:val="center"/>
          </w:tcPr>
          <w:p w14:paraId="26A268A3">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1167" w:type="pct"/>
            <w:tcBorders>
              <w:top w:val="single" w:color="000000" w:sz="4" w:space="0"/>
              <w:left w:val="single" w:color="000000" w:sz="4" w:space="0"/>
              <w:bottom w:val="single" w:color="000000" w:sz="4" w:space="0"/>
              <w:right w:val="single" w:color="000000" w:sz="4" w:space="0"/>
            </w:tcBorders>
            <w:vAlign w:val="center"/>
          </w:tcPr>
          <w:p w14:paraId="13622188">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669" w:type="pct"/>
            <w:tcBorders>
              <w:top w:val="single" w:color="000000" w:sz="4" w:space="0"/>
              <w:left w:val="single" w:color="000000" w:sz="4" w:space="0"/>
              <w:bottom w:val="single" w:color="000000" w:sz="4" w:space="0"/>
              <w:right w:val="single" w:color="000000" w:sz="4" w:space="0"/>
            </w:tcBorders>
            <w:vAlign w:val="center"/>
          </w:tcPr>
          <w:p w14:paraId="26B4CCAC">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500" w:type="pct"/>
            <w:tcBorders>
              <w:top w:val="single" w:color="000000" w:sz="4" w:space="0"/>
              <w:left w:val="single" w:color="000000" w:sz="4" w:space="0"/>
              <w:bottom w:val="single" w:color="000000" w:sz="4" w:space="0"/>
              <w:right w:val="single" w:color="000000" w:sz="4" w:space="0"/>
            </w:tcBorders>
            <w:vAlign w:val="center"/>
          </w:tcPr>
          <w:p w14:paraId="02F0A7AD">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831" w:type="pct"/>
            <w:tcBorders>
              <w:top w:val="single" w:color="000000" w:sz="4" w:space="0"/>
              <w:left w:val="single" w:color="000000" w:sz="4" w:space="0"/>
              <w:bottom w:val="single" w:color="000000" w:sz="4" w:space="0"/>
              <w:right w:val="single" w:color="000000" w:sz="4" w:space="0"/>
            </w:tcBorders>
            <w:vAlign w:val="center"/>
          </w:tcPr>
          <w:p w14:paraId="0EDA1F04">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666" w:type="pct"/>
            <w:tcBorders>
              <w:top w:val="single" w:color="000000" w:sz="4" w:space="0"/>
              <w:left w:val="single" w:color="000000" w:sz="4" w:space="0"/>
              <w:bottom w:val="single" w:color="000000" w:sz="4" w:space="0"/>
              <w:right w:val="single" w:color="000000" w:sz="4" w:space="0"/>
            </w:tcBorders>
            <w:vAlign w:val="center"/>
          </w:tcPr>
          <w:p w14:paraId="20C0D9EE">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r>
      <w:tr w14:paraId="378BE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7" w:type="pct"/>
            <w:tcBorders>
              <w:top w:val="single" w:color="000000" w:sz="4" w:space="0"/>
              <w:left w:val="single" w:color="000000" w:sz="4" w:space="0"/>
              <w:bottom w:val="single" w:color="000000" w:sz="4" w:space="0"/>
              <w:right w:val="single" w:color="000000" w:sz="4" w:space="0"/>
            </w:tcBorders>
            <w:vAlign w:val="center"/>
          </w:tcPr>
          <w:p w14:paraId="2941F1DC">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1167" w:type="pct"/>
            <w:tcBorders>
              <w:top w:val="single" w:color="000000" w:sz="4" w:space="0"/>
              <w:left w:val="single" w:color="000000" w:sz="4" w:space="0"/>
              <w:bottom w:val="single" w:color="000000" w:sz="4" w:space="0"/>
              <w:right w:val="single" w:color="000000" w:sz="4" w:space="0"/>
            </w:tcBorders>
            <w:vAlign w:val="center"/>
          </w:tcPr>
          <w:p w14:paraId="46A1879E">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669" w:type="pct"/>
            <w:tcBorders>
              <w:top w:val="single" w:color="000000" w:sz="4" w:space="0"/>
              <w:left w:val="single" w:color="000000" w:sz="4" w:space="0"/>
              <w:bottom w:val="single" w:color="000000" w:sz="4" w:space="0"/>
              <w:right w:val="single" w:color="000000" w:sz="4" w:space="0"/>
            </w:tcBorders>
            <w:vAlign w:val="center"/>
          </w:tcPr>
          <w:p w14:paraId="1D67A9A2">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500" w:type="pct"/>
            <w:tcBorders>
              <w:top w:val="single" w:color="000000" w:sz="4" w:space="0"/>
              <w:left w:val="single" w:color="000000" w:sz="4" w:space="0"/>
              <w:bottom w:val="single" w:color="000000" w:sz="4" w:space="0"/>
              <w:right w:val="single" w:color="000000" w:sz="4" w:space="0"/>
            </w:tcBorders>
            <w:vAlign w:val="center"/>
          </w:tcPr>
          <w:p w14:paraId="6C3E9061">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831" w:type="pct"/>
            <w:tcBorders>
              <w:top w:val="single" w:color="000000" w:sz="4" w:space="0"/>
              <w:left w:val="single" w:color="000000" w:sz="4" w:space="0"/>
              <w:bottom w:val="single" w:color="000000" w:sz="4" w:space="0"/>
              <w:right w:val="single" w:color="000000" w:sz="4" w:space="0"/>
            </w:tcBorders>
            <w:vAlign w:val="center"/>
          </w:tcPr>
          <w:p w14:paraId="6F5C800A">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666" w:type="pct"/>
            <w:tcBorders>
              <w:top w:val="single" w:color="000000" w:sz="4" w:space="0"/>
              <w:left w:val="single" w:color="000000" w:sz="4" w:space="0"/>
              <w:bottom w:val="single" w:color="000000" w:sz="4" w:space="0"/>
              <w:right w:val="single" w:color="000000" w:sz="4" w:space="0"/>
            </w:tcBorders>
            <w:vAlign w:val="center"/>
          </w:tcPr>
          <w:p w14:paraId="19A72F03">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r>
      <w:tr w14:paraId="59244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67" w:type="pct"/>
            <w:tcBorders>
              <w:top w:val="single" w:color="000000" w:sz="4" w:space="0"/>
              <w:left w:val="single" w:color="000000" w:sz="4" w:space="0"/>
              <w:bottom w:val="single" w:color="000000" w:sz="4" w:space="0"/>
              <w:right w:val="single" w:color="000000" w:sz="4" w:space="0"/>
            </w:tcBorders>
            <w:vAlign w:val="center"/>
          </w:tcPr>
          <w:p w14:paraId="3C9C7841">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1167" w:type="pct"/>
            <w:tcBorders>
              <w:top w:val="single" w:color="000000" w:sz="4" w:space="0"/>
              <w:left w:val="single" w:color="000000" w:sz="4" w:space="0"/>
              <w:bottom w:val="single" w:color="000000" w:sz="4" w:space="0"/>
              <w:right w:val="single" w:color="000000" w:sz="4" w:space="0"/>
            </w:tcBorders>
            <w:vAlign w:val="center"/>
          </w:tcPr>
          <w:p w14:paraId="6AE9052A">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lang w:eastAsia="zh-Hans"/>
              </w:rPr>
            </w:pPr>
          </w:p>
        </w:tc>
        <w:tc>
          <w:tcPr>
            <w:tcW w:w="669" w:type="pct"/>
            <w:tcBorders>
              <w:top w:val="single" w:color="000000" w:sz="4" w:space="0"/>
              <w:left w:val="single" w:color="000000" w:sz="4" w:space="0"/>
              <w:bottom w:val="single" w:color="000000" w:sz="4" w:space="0"/>
              <w:right w:val="single" w:color="000000" w:sz="4" w:space="0"/>
            </w:tcBorders>
            <w:vAlign w:val="center"/>
          </w:tcPr>
          <w:p w14:paraId="58798FD8">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500" w:type="pct"/>
            <w:tcBorders>
              <w:top w:val="single" w:color="000000" w:sz="4" w:space="0"/>
              <w:left w:val="single" w:color="000000" w:sz="4" w:space="0"/>
              <w:bottom w:val="single" w:color="000000" w:sz="4" w:space="0"/>
              <w:right w:val="single" w:color="000000" w:sz="4" w:space="0"/>
            </w:tcBorders>
            <w:vAlign w:val="center"/>
          </w:tcPr>
          <w:p w14:paraId="5D33411F">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831" w:type="pct"/>
            <w:tcBorders>
              <w:top w:val="single" w:color="000000" w:sz="4" w:space="0"/>
              <w:left w:val="single" w:color="000000" w:sz="4" w:space="0"/>
              <w:bottom w:val="single" w:color="000000" w:sz="4" w:space="0"/>
              <w:right w:val="single" w:color="000000" w:sz="4" w:space="0"/>
            </w:tcBorders>
            <w:vAlign w:val="center"/>
          </w:tcPr>
          <w:p w14:paraId="2CFCF9C3">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c>
          <w:tcPr>
            <w:tcW w:w="666" w:type="pct"/>
            <w:tcBorders>
              <w:top w:val="single" w:color="000000" w:sz="4" w:space="0"/>
              <w:left w:val="single" w:color="000000" w:sz="4" w:space="0"/>
              <w:bottom w:val="single" w:color="000000" w:sz="4" w:space="0"/>
              <w:right w:val="single" w:color="000000" w:sz="4" w:space="0"/>
            </w:tcBorders>
            <w:vAlign w:val="center"/>
          </w:tcPr>
          <w:p w14:paraId="2A50D9D1">
            <w:pPr>
              <w:pStyle w:val="2"/>
              <w:tabs>
                <w:tab w:val="center" w:pos="4153"/>
                <w:tab w:val="right" w:pos="8306"/>
              </w:tabs>
              <w:snapToGrid w:val="0"/>
              <w:spacing w:line="240" w:lineRule="auto"/>
              <w:ind w:left="0" w:firstLine="0"/>
              <w:jc w:val="center"/>
              <w:rPr>
                <w:rFonts w:hint="eastAsia" w:ascii="仿宋_GB2312" w:hAnsi="仿宋_GB2312" w:eastAsia="仿宋_GB2312" w:cs="仿宋_GB2312"/>
                <w:sz w:val="21"/>
                <w:szCs w:val="21"/>
              </w:rPr>
            </w:pPr>
          </w:p>
        </w:tc>
      </w:tr>
    </w:tbl>
    <w:p w14:paraId="58FA6F6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二</w:t>
      </w:r>
      <w:r>
        <w:rPr>
          <w:rFonts w:hint="eastAsia" w:ascii="仿宋_GB2312" w:hAnsi="仿宋_GB2312" w:eastAsia="仿宋_GB2312" w:cs="仿宋_GB2312"/>
          <w:sz w:val="28"/>
          <w:szCs w:val="28"/>
        </w:rPr>
        <w:t>条  股东应当按期足额缴纳本章程规定的各自所认缴的出资额。股东以货币出资的，应当将货币出资足额存入公司在银行开设的账户；以非货币财产出资的，应当评估作价，核实财产，依法办理其财产权的转移手续。股东以非货币财产出资的，该财产应当权属清晰、可以依法转让，且未设定任何担保、质押或抵押。股东对作为出资的非货币财产应当评估作价，核实财产，不得高估或者低估作价。</w:t>
      </w:r>
    </w:p>
    <w:p w14:paraId="1243145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三</w:t>
      </w:r>
      <w:r>
        <w:rPr>
          <w:rFonts w:hint="eastAsia" w:ascii="仿宋_GB2312" w:hAnsi="仿宋_GB2312" w:eastAsia="仿宋_GB2312" w:cs="仿宋_GB2312"/>
          <w:sz w:val="28"/>
          <w:szCs w:val="28"/>
        </w:rPr>
        <w:t>条  公司成立后，应向股东签发载明下列事项的出资证明书：</w:t>
      </w:r>
    </w:p>
    <w:p w14:paraId="0640C8A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（一）公司名称；</w:t>
      </w:r>
    </w:p>
    <w:p w14:paraId="072C4334">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（二）公司成立日期；</w:t>
      </w:r>
    </w:p>
    <w:p w14:paraId="56C57FE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（三）公司注册资本；</w:t>
      </w:r>
    </w:p>
    <w:p w14:paraId="6590042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（四）股东的姓名或者名称、缴纳的出资额和出资日期；</w:t>
      </w:r>
    </w:p>
    <w:p w14:paraId="0D5AB4B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（五）出资证明书的编号和核发日期。</w:t>
      </w:r>
    </w:p>
    <w:p w14:paraId="3A5E120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出资证明书由法定代表人签名并加盖公司公章。</w:t>
      </w:r>
    </w:p>
    <w:p w14:paraId="7D79EE9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四</w:t>
      </w:r>
      <w:r>
        <w:rPr>
          <w:rFonts w:hint="eastAsia" w:ascii="仿宋_GB2312" w:hAnsi="仿宋_GB2312" w:eastAsia="仿宋_GB2312" w:cs="仿宋_GB2312"/>
          <w:sz w:val="28"/>
          <w:szCs w:val="28"/>
        </w:rPr>
        <w:t>条  公司应当置备股东名册，记载下列事项：</w:t>
      </w:r>
    </w:p>
    <w:p w14:paraId="2C2A529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（一）股东的姓名或者名称及住所；</w:t>
      </w:r>
    </w:p>
    <w:p w14:paraId="63A70AC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（二）股东认缴和实缴的出资额、出资方式和出资日期；</w:t>
      </w:r>
    </w:p>
    <w:p w14:paraId="6AD11226">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（三）出资证明书编号</w:t>
      </w:r>
      <w:r>
        <w:rPr>
          <w:rFonts w:hint="eastAsia" w:ascii="仿宋_GB2312" w:hAnsi="仿宋_GB2312" w:eastAsia="仿宋_GB2312" w:cs="仿宋_GB2312"/>
          <w:sz w:val="28"/>
          <w:szCs w:val="28"/>
          <w:lang w:eastAsia="zh-CN"/>
        </w:rPr>
        <w:t>；</w:t>
      </w:r>
    </w:p>
    <w:p w14:paraId="7CC7D9C0">
      <w:pPr>
        <w:spacing w:line="360" w:lineRule="auto"/>
        <w:ind w:firstLine="560" w:firstLineChars="200"/>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（四）取得和丧失股东资格的日期</w:t>
      </w:r>
      <w:r>
        <w:rPr>
          <w:rFonts w:hint="eastAsia" w:ascii="仿宋_GB2312" w:hAnsi="仿宋_GB2312" w:eastAsia="仿宋_GB2312" w:cs="仿宋_GB2312"/>
          <w:sz w:val="28"/>
          <w:szCs w:val="28"/>
          <w:lang w:eastAsia="zh-CN"/>
        </w:rPr>
        <w:t>。</w:t>
      </w:r>
    </w:p>
    <w:p w14:paraId="4FC2DED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记载于股东名册的股东，可以依股东名册主张行使股东权利。</w:t>
      </w:r>
    </w:p>
    <w:p w14:paraId="1C74656C">
      <w:pPr>
        <w:spacing w:line="360" w:lineRule="auto"/>
        <w:jc w:val="center"/>
        <w:rPr>
          <w:rFonts w:hint="eastAsia" w:ascii="仿宋_GB2312" w:hAnsi="仿宋_GB2312" w:eastAsia="仿宋_GB2312" w:cs="仿宋_GB2312"/>
          <w:sz w:val="28"/>
          <w:szCs w:val="28"/>
        </w:rPr>
      </w:pPr>
    </w:p>
    <w:p w14:paraId="020912A2">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第五章 股东的权利义务</w:t>
      </w:r>
    </w:p>
    <w:p w14:paraId="659E35F4">
      <w:pPr>
        <w:spacing w:line="360" w:lineRule="auto"/>
        <w:ind w:firstLine="560" w:firstLineChars="200"/>
        <w:rPr>
          <w:rFonts w:hint="eastAsia" w:ascii="仿宋_GB2312" w:hAnsi="仿宋_GB2312" w:eastAsia="仿宋_GB2312" w:cs="仿宋_GB2312"/>
          <w:sz w:val="28"/>
          <w:szCs w:val="28"/>
        </w:rPr>
      </w:pPr>
    </w:p>
    <w:p w14:paraId="433CA23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五</w:t>
      </w:r>
      <w:r>
        <w:rPr>
          <w:rFonts w:hint="eastAsia" w:ascii="仿宋_GB2312" w:hAnsi="仿宋_GB2312" w:eastAsia="仿宋_GB2312" w:cs="仿宋_GB2312"/>
          <w:sz w:val="28"/>
          <w:szCs w:val="28"/>
        </w:rPr>
        <w:t>条 公司股东享有下列权利：</w:t>
      </w:r>
    </w:p>
    <w:p w14:paraId="4D3BD46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Hans"/>
        </w:rPr>
        <w:t>一）</w:t>
      </w:r>
      <w:r>
        <w:rPr>
          <w:rFonts w:hint="eastAsia" w:ascii="仿宋_GB2312" w:hAnsi="仿宋_GB2312" w:eastAsia="仿宋_GB2312" w:cs="仿宋_GB2312"/>
          <w:sz w:val="28"/>
          <w:szCs w:val="28"/>
        </w:rPr>
        <w:t>出席股东会会议，并行使表决权；</w:t>
      </w:r>
    </w:p>
    <w:p w14:paraId="486B5C4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Hans"/>
        </w:rPr>
        <w:t>二）</w:t>
      </w:r>
      <w:r>
        <w:rPr>
          <w:rFonts w:hint="eastAsia" w:ascii="仿宋_GB2312" w:hAnsi="仿宋_GB2312" w:eastAsia="仿宋_GB2312" w:cs="仿宋_GB2312"/>
          <w:sz w:val="28"/>
          <w:szCs w:val="28"/>
        </w:rPr>
        <w:t>享有分红权和剩余财产分配权；</w:t>
      </w:r>
    </w:p>
    <w:p w14:paraId="150F72E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hint="eastAsia" w:ascii="仿宋_GB2312" w:hAnsi="仿宋_GB2312" w:eastAsia="仿宋_GB2312" w:cs="仿宋_GB2312"/>
          <w:sz w:val="28"/>
          <w:szCs w:val="28"/>
          <w:lang w:eastAsia="zh-Hans"/>
        </w:rPr>
        <w:t>）</w:t>
      </w:r>
      <w:r>
        <w:rPr>
          <w:rFonts w:hint="eastAsia" w:ascii="仿宋_GB2312" w:hAnsi="仿宋_GB2312" w:eastAsia="仿宋_GB2312" w:cs="仿宋_GB2312"/>
          <w:sz w:val="28"/>
          <w:szCs w:val="28"/>
        </w:rPr>
        <w:t>查阅、复制公司章程、股东名册、股东会会议记录、董事会会议决议、</w:t>
      </w:r>
      <w:r>
        <w:rPr>
          <w:rFonts w:hint="eastAsia" w:ascii="仿宋_GB2312" w:hAnsi="仿宋_GB2312" w:eastAsia="仿宋_GB2312" w:cs="仿宋_GB2312"/>
          <w:sz w:val="28"/>
          <w:szCs w:val="28"/>
          <w:highlight w:val="none"/>
        </w:rPr>
        <w:t>监事</w:t>
      </w:r>
      <w:r>
        <w:rPr>
          <w:rFonts w:hint="eastAsia" w:ascii="仿宋_GB2312" w:hAnsi="仿宋_GB2312" w:eastAsia="仿宋_GB2312" w:cs="仿宋_GB2312"/>
          <w:sz w:val="28"/>
          <w:szCs w:val="28"/>
          <w:highlight w:val="none"/>
          <w:lang w:val="en-US" w:eastAsia="zh-CN"/>
        </w:rPr>
        <w:t>决定</w:t>
      </w:r>
      <w:r>
        <w:rPr>
          <w:rFonts w:hint="eastAsia" w:ascii="仿宋_GB2312" w:hAnsi="仿宋_GB2312" w:eastAsia="仿宋_GB2312" w:cs="仿宋_GB2312"/>
          <w:sz w:val="28"/>
          <w:szCs w:val="28"/>
        </w:rPr>
        <w:t>和财务会计报告</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查阅公司会计账簿、会计凭证，监督公司经营，提出建议或质询的权利；其中，查阅会计账簿、会计凭证需股东提供合理书面理由；</w:t>
      </w:r>
    </w:p>
    <w:p w14:paraId="586F7FD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Hans"/>
        </w:rPr>
        <w:t>）</w:t>
      </w:r>
      <w:r>
        <w:rPr>
          <w:rFonts w:hint="eastAsia" w:ascii="仿宋_GB2312" w:hAnsi="仿宋_GB2312" w:eastAsia="仿宋_GB2312" w:cs="仿宋_GB2312"/>
          <w:sz w:val="28"/>
          <w:szCs w:val="28"/>
        </w:rPr>
        <w:t>通过股东会表决，选举公司的董事、监事；</w:t>
      </w:r>
    </w:p>
    <w:p w14:paraId="07E32C1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Hans"/>
        </w:rPr>
        <w:t>五）</w:t>
      </w:r>
      <w:r>
        <w:rPr>
          <w:rFonts w:hint="eastAsia" w:ascii="仿宋_GB2312" w:hAnsi="仿宋_GB2312" w:eastAsia="仿宋_GB2312" w:cs="仿宋_GB2312"/>
          <w:sz w:val="28"/>
          <w:szCs w:val="28"/>
        </w:rPr>
        <w:t>依据法律、法规、公司章程及股东协议转让或质押其全部或部分股权，优先购买其他股东转让的股权的权利；</w:t>
      </w:r>
    </w:p>
    <w:p w14:paraId="0B9CE00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Hans"/>
        </w:rPr>
        <w:t>六）</w:t>
      </w:r>
      <w:r>
        <w:rPr>
          <w:rFonts w:hint="eastAsia" w:ascii="仿宋_GB2312" w:hAnsi="仿宋_GB2312" w:eastAsia="仿宋_GB2312" w:cs="仿宋_GB2312"/>
          <w:sz w:val="28"/>
          <w:szCs w:val="28"/>
        </w:rPr>
        <w:t>依据法律、法规、公司章程及股东协议优先认购公司新增注册资本的权利；</w:t>
      </w:r>
    </w:p>
    <w:p w14:paraId="04DF834C">
      <w:pPr>
        <w:spacing w:line="360" w:lineRule="auto"/>
        <w:ind w:firstLine="56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Hans"/>
        </w:rPr>
        <w:t>七）《公司法》及公司章程规定的其他权利。</w:t>
      </w:r>
    </w:p>
    <w:p w14:paraId="402D791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第十</w:t>
      </w:r>
      <w:r>
        <w:rPr>
          <w:rFonts w:hint="eastAsia" w:ascii="仿宋_GB2312" w:hAnsi="仿宋_GB2312" w:eastAsia="仿宋_GB2312" w:cs="仿宋_GB2312"/>
          <w:sz w:val="28"/>
          <w:szCs w:val="28"/>
          <w:lang w:eastAsia="zh-Hans"/>
        </w:rPr>
        <w:t>六</w:t>
      </w:r>
      <w:r>
        <w:rPr>
          <w:rFonts w:hint="eastAsia" w:ascii="仿宋_GB2312" w:hAnsi="仿宋_GB2312" w:eastAsia="仿宋_GB2312" w:cs="仿宋_GB2312"/>
          <w:sz w:val="28"/>
          <w:szCs w:val="28"/>
        </w:rPr>
        <w:t>条  公司股东承担下列义务：</w:t>
      </w:r>
    </w:p>
    <w:p w14:paraId="66265A6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（一）遵守公司章程；</w:t>
      </w:r>
    </w:p>
    <w:p w14:paraId="2C86343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（二）按期足额缴纳所认缴的出资；</w:t>
      </w:r>
    </w:p>
    <w:p w14:paraId="07EA465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（三）以其认缴的出资额为限对公司承担责任；</w:t>
      </w:r>
    </w:p>
    <w:p w14:paraId="400F102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（四）在公司办理登记手续后，不得抽回出资；</w:t>
      </w:r>
    </w:p>
    <w:p w14:paraId="4F826DC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（五）维护公司利益，不得利用股东地位和职权谋取私利，不得损害公司和其他股东的合法权益；</w:t>
      </w:r>
    </w:p>
    <w:p w14:paraId="645A4FA3">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（六）法律、行政法规和本章程规定的其他义务。</w:t>
      </w:r>
    </w:p>
    <w:p w14:paraId="2B162268">
      <w:pPr>
        <w:spacing w:line="360" w:lineRule="auto"/>
        <w:ind w:firstLine="560" w:firstLineChars="200"/>
        <w:rPr>
          <w:rFonts w:hint="eastAsia" w:ascii="仿宋_GB2312" w:hAnsi="仿宋_GB2312" w:eastAsia="仿宋_GB2312" w:cs="仿宋_GB2312"/>
          <w:sz w:val="28"/>
          <w:szCs w:val="28"/>
        </w:rPr>
      </w:pPr>
    </w:p>
    <w:p w14:paraId="79FC8D2C">
      <w:pPr>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b/>
          <w:bCs/>
          <w:sz w:val="28"/>
          <w:szCs w:val="28"/>
        </w:rPr>
        <w:t xml:space="preserve">第六章 </w:t>
      </w:r>
      <w:r>
        <w:rPr>
          <w:rFonts w:ascii="仿宋_GB2312" w:hAnsi="仿宋_GB2312" w:eastAsia="仿宋_GB2312" w:cs="仿宋_GB2312"/>
          <w:b/>
          <w:bCs/>
          <w:sz w:val="28"/>
          <w:szCs w:val="28"/>
        </w:rPr>
        <w:t>公司的机构及其产生办法、职权、议事规则</w:t>
      </w:r>
    </w:p>
    <w:p w14:paraId="42A695D5">
      <w:pPr>
        <w:spacing w:line="360" w:lineRule="auto"/>
        <w:ind w:firstLine="560" w:firstLineChars="200"/>
        <w:rPr>
          <w:rFonts w:hint="eastAsia" w:ascii="仿宋_GB2312" w:hAnsi="仿宋_GB2312" w:eastAsia="仿宋_GB2312" w:cs="仿宋_GB2312"/>
          <w:sz w:val="28"/>
          <w:szCs w:val="28"/>
        </w:rPr>
      </w:pPr>
    </w:p>
    <w:p w14:paraId="426E100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十七</w:t>
      </w:r>
      <w:r>
        <w:rPr>
          <w:rFonts w:hint="eastAsia" w:ascii="仿宋_GB2312" w:hAnsi="仿宋_GB2312" w:eastAsia="仿宋_GB2312" w:cs="仿宋_GB2312"/>
          <w:sz w:val="28"/>
          <w:szCs w:val="28"/>
        </w:rPr>
        <w:t>条 公司</w:t>
      </w:r>
      <w:r>
        <w:rPr>
          <w:rFonts w:ascii="仿宋_GB2312" w:hAnsi="仿宋_GB2312" w:eastAsia="仿宋_GB2312" w:cs="仿宋_GB2312"/>
          <w:sz w:val="28"/>
          <w:szCs w:val="28"/>
          <w:lang w:eastAsia="zh-Hans"/>
        </w:rPr>
        <w:t>股东会由全体股东组成。股东会是公司的权力机构</w:t>
      </w:r>
      <w:r>
        <w:rPr>
          <w:rFonts w:hint="eastAsia" w:ascii="仿宋_GB2312" w:hAnsi="仿宋_GB2312" w:eastAsia="仿宋_GB2312" w:cs="仿宋_GB2312"/>
          <w:sz w:val="28"/>
          <w:szCs w:val="28"/>
        </w:rPr>
        <w:t>。股东</w:t>
      </w:r>
      <w:r>
        <w:rPr>
          <w:rFonts w:hint="eastAsia" w:ascii="仿宋_GB2312" w:hAnsi="仿宋_GB2312" w:eastAsia="仿宋_GB2312" w:cs="仿宋_GB2312"/>
          <w:sz w:val="28"/>
          <w:szCs w:val="28"/>
          <w:lang w:eastAsia="zh-Hans"/>
        </w:rPr>
        <w:t>会</w:t>
      </w:r>
      <w:r>
        <w:rPr>
          <w:rFonts w:hint="eastAsia" w:ascii="仿宋_GB2312" w:hAnsi="仿宋_GB2312" w:eastAsia="仿宋_GB2312" w:cs="仿宋_GB2312"/>
          <w:sz w:val="28"/>
          <w:szCs w:val="28"/>
        </w:rPr>
        <w:t>行使下列职权：</w:t>
      </w:r>
    </w:p>
    <w:p w14:paraId="1272EA7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（一）选举和更换董事、监事，决定有关董事、监事的报酬事项；</w:t>
      </w:r>
    </w:p>
    <w:p w14:paraId="64121B5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（二）审议批准董事会的报告；</w:t>
      </w:r>
    </w:p>
    <w:p w14:paraId="1A298DD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（三）审议批准</w:t>
      </w:r>
      <w:r>
        <w:rPr>
          <w:rFonts w:hint="eastAsia" w:ascii="仿宋_GB2312" w:hAnsi="仿宋_GB2312" w:eastAsia="仿宋_GB2312" w:cs="仿宋_GB2312"/>
          <w:sz w:val="28"/>
          <w:szCs w:val="28"/>
          <w:highlight w:val="none"/>
        </w:rPr>
        <w:t>监事</w:t>
      </w:r>
      <w:r>
        <w:rPr>
          <w:rFonts w:hint="eastAsia" w:ascii="仿宋_GB2312" w:hAnsi="仿宋_GB2312" w:eastAsia="仿宋_GB2312" w:cs="仿宋_GB2312"/>
          <w:sz w:val="28"/>
          <w:szCs w:val="28"/>
        </w:rPr>
        <w:t>的报告；</w:t>
      </w:r>
    </w:p>
    <w:p w14:paraId="5B4120C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（四）审议批准公司的利润分配方案和弥补亏损方案；</w:t>
      </w:r>
    </w:p>
    <w:p w14:paraId="01DA20F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（五）对公司增加或者减少注册资本作出决议；</w:t>
      </w:r>
    </w:p>
    <w:p w14:paraId="3E20471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（六）对发行公司债券作出决议；</w:t>
      </w:r>
    </w:p>
    <w:p w14:paraId="518EBB52">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（七）对公司合并、分立、解散、清算或者变更公司形式作出决议；</w:t>
      </w:r>
    </w:p>
    <w:p w14:paraId="39DDF6B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（八）修改公司章程；</w:t>
      </w:r>
    </w:p>
    <w:p w14:paraId="1348CC46">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（九）法律、行政法规和本章程规定的其他职权。</w:t>
      </w:r>
    </w:p>
    <w:p w14:paraId="48620AB3">
      <w:pPr>
        <w:spacing w:line="360" w:lineRule="auto"/>
        <w:ind w:firstLine="560" w:firstLineChars="200"/>
        <w:rPr>
          <w:rFonts w:hint="eastAsia" w:ascii="仿宋_GB2312" w:hAnsi="仿宋_GB2312" w:eastAsia="仿宋_GB2312" w:cs="仿宋_GB2312"/>
          <w:sz w:val="28"/>
          <w:szCs w:val="28"/>
        </w:rPr>
      </w:pPr>
      <w:r>
        <w:rPr>
          <w:rFonts w:ascii="仿宋_GB2312" w:hAnsi="仿宋_GB2312" w:eastAsia="仿宋_GB2312" w:cs="仿宋_GB2312"/>
          <w:sz w:val="28"/>
          <w:szCs w:val="28"/>
        </w:rPr>
        <w:t>对本条</w:t>
      </w:r>
      <w:r>
        <w:rPr>
          <w:rFonts w:hint="eastAsia" w:ascii="仿宋_GB2312" w:hAnsi="仿宋_GB2312" w:eastAsia="仿宋_GB2312" w:cs="仿宋_GB2312"/>
          <w:sz w:val="28"/>
          <w:szCs w:val="28"/>
        </w:rPr>
        <w:t>前款所列事项</w:t>
      </w:r>
      <w:r>
        <w:rPr>
          <w:rFonts w:ascii="仿宋_GB2312" w:hAnsi="仿宋_GB2312" w:eastAsia="仿宋_GB2312" w:cs="仿宋_GB2312"/>
          <w:sz w:val="28"/>
          <w:szCs w:val="28"/>
        </w:rPr>
        <w:t>股东以书面形式一致表示同意的，可以不召开股东会会议，直接作出决定，并由全体股东在决定文件上签名或者盖章</w:t>
      </w:r>
      <w:r>
        <w:rPr>
          <w:rFonts w:hint="eastAsia" w:ascii="仿宋_GB2312" w:hAnsi="仿宋_GB2312" w:eastAsia="仿宋_GB2312" w:cs="仿宋_GB2312"/>
          <w:sz w:val="28"/>
          <w:szCs w:val="28"/>
        </w:rPr>
        <w:t>。</w:t>
      </w:r>
    </w:p>
    <w:p w14:paraId="311B4BC7">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十八</w:t>
      </w:r>
      <w:r>
        <w:rPr>
          <w:rFonts w:hint="eastAsia" w:ascii="仿宋_GB2312" w:hAnsi="仿宋_GB2312" w:eastAsia="仿宋_GB2312" w:cs="仿宋_GB2312"/>
          <w:sz w:val="28"/>
          <w:szCs w:val="28"/>
        </w:rPr>
        <w:t>条  股东</w:t>
      </w:r>
      <w:r>
        <w:rPr>
          <w:rFonts w:hint="eastAsia" w:ascii="仿宋_GB2312" w:hAnsi="仿宋_GB2312" w:eastAsia="仿宋_GB2312" w:cs="仿宋_GB2312"/>
          <w:sz w:val="28"/>
          <w:szCs w:val="28"/>
          <w:lang w:eastAsia="zh-Hans"/>
        </w:rPr>
        <w:t>会</w:t>
      </w:r>
      <w:r>
        <w:rPr>
          <w:rFonts w:hint="eastAsia" w:ascii="仿宋_GB2312" w:hAnsi="仿宋_GB2312" w:eastAsia="仿宋_GB2312" w:cs="仿宋_GB2312"/>
          <w:sz w:val="28"/>
          <w:szCs w:val="28"/>
        </w:rPr>
        <w:t>对上述事项作出决定时，应当采用书面形式，并由股东签名（法人股东盖章）后置备于公司。股东</w:t>
      </w:r>
      <w:r>
        <w:rPr>
          <w:rFonts w:hint="eastAsia" w:ascii="仿宋_GB2312" w:hAnsi="仿宋_GB2312" w:eastAsia="仿宋_GB2312" w:cs="仿宋_GB2312"/>
          <w:sz w:val="28"/>
          <w:szCs w:val="28"/>
          <w:lang w:eastAsia="zh-Hans"/>
        </w:rPr>
        <w:t>会</w:t>
      </w:r>
      <w:r>
        <w:rPr>
          <w:rFonts w:hint="eastAsia" w:ascii="仿宋_GB2312" w:hAnsi="仿宋_GB2312" w:eastAsia="仿宋_GB2312" w:cs="仿宋_GB2312"/>
          <w:sz w:val="28"/>
          <w:szCs w:val="28"/>
        </w:rPr>
        <w:t>作出的决定应当内容明确，符合法律和章程规定。</w:t>
      </w:r>
    </w:p>
    <w:p w14:paraId="4C29FF2E">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第十九条 股东会以召开股东会会议的方式议事，法人股东由法定代表人参加，自然人股东由本人参加，因事不能参加可以书面委托他人参加。股东会会议分为定期会议和临时会议两种。定期会议一年召开一次。</w:t>
      </w:r>
      <w:r>
        <w:rPr>
          <w:rFonts w:ascii="仿宋_GB2312" w:hAnsi="仿宋_GB2312" w:eastAsia="仿宋_GB2312" w:cs="仿宋_GB2312"/>
          <w:sz w:val="28"/>
          <w:szCs w:val="28"/>
        </w:rPr>
        <w:t>代表十分之一以上表决权的股东、三分之一以上的董事</w:t>
      </w:r>
      <w:r>
        <w:rPr>
          <w:rFonts w:hint="eastAsia" w:ascii="仿宋_GB2312" w:hAnsi="仿宋_GB2312" w:eastAsia="仿宋_GB2312" w:cs="仿宋_GB2312"/>
          <w:sz w:val="28"/>
          <w:szCs w:val="28"/>
          <w:highlight w:val="none"/>
          <w:lang w:eastAsia="zh-CN"/>
        </w:rPr>
        <w:t>、</w:t>
      </w:r>
      <w:r>
        <w:rPr>
          <w:rFonts w:ascii="仿宋_GB2312" w:hAnsi="仿宋_GB2312" w:eastAsia="仿宋_GB2312" w:cs="仿宋_GB2312"/>
          <w:sz w:val="28"/>
          <w:szCs w:val="28"/>
          <w:highlight w:val="none"/>
        </w:rPr>
        <w:t>监事</w:t>
      </w:r>
      <w:r>
        <w:rPr>
          <w:rFonts w:ascii="仿宋_GB2312" w:hAnsi="仿宋_GB2312" w:eastAsia="仿宋_GB2312" w:cs="仿宋_GB2312"/>
          <w:sz w:val="28"/>
          <w:szCs w:val="28"/>
        </w:rPr>
        <w:t>提议召开临时会议的，应当召开临时会议。</w:t>
      </w:r>
    </w:p>
    <w:p w14:paraId="10C4075E">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第二十条 </w:t>
      </w:r>
      <w:r>
        <w:rPr>
          <w:rFonts w:ascii="仿宋_GB2312" w:hAnsi="仿宋_GB2312" w:eastAsia="仿宋_GB2312" w:cs="仿宋_GB2312"/>
          <w:sz w:val="28"/>
          <w:szCs w:val="28"/>
        </w:rPr>
        <w:t>召开股东会会议，应当于会议召开十五日前通知全体股东</w:t>
      </w:r>
      <w:r>
        <w:rPr>
          <w:rFonts w:hint="eastAsia" w:ascii="仿宋_GB2312" w:hAnsi="仿宋_GB2312" w:eastAsia="仿宋_GB2312" w:cs="仿宋_GB2312"/>
          <w:sz w:val="28"/>
          <w:szCs w:val="28"/>
        </w:rPr>
        <w:t>。</w:t>
      </w:r>
    </w:p>
    <w:p w14:paraId="451884F1">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第二十一条 </w:t>
      </w:r>
      <w:r>
        <w:rPr>
          <w:rFonts w:ascii="仿宋_GB2312" w:hAnsi="仿宋_GB2312" w:eastAsia="仿宋_GB2312" w:cs="仿宋_GB2312"/>
          <w:sz w:val="28"/>
          <w:szCs w:val="28"/>
        </w:rPr>
        <w:t>股东会会议由</w:t>
      </w:r>
      <w:r>
        <w:rPr>
          <w:rFonts w:hint="eastAsia" w:ascii="仿宋_GB2312" w:hAnsi="仿宋_GB2312" w:eastAsia="仿宋_GB2312" w:cs="仿宋_GB2312"/>
          <w:sz w:val="28"/>
          <w:szCs w:val="28"/>
        </w:rPr>
        <w:t>执行董事</w:t>
      </w:r>
      <w:r>
        <w:rPr>
          <w:rFonts w:ascii="仿宋_GB2312" w:hAnsi="仿宋_GB2312" w:eastAsia="仿宋_GB2312" w:cs="仿宋_GB2312"/>
          <w:sz w:val="28"/>
          <w:szCs w:val="28"/>
        </w:rPr>
        <w:t>召集</w:t>
      </w:r>
      <w:r>
        <w:rPr>
          <w:rFonts w:hint="eastAsia" w:ascii="仿宋_GB2312" w:hAnsi="仿宋_GB2312" w:eastAsia="仿宋_GB2312" w:cs="仿宋_GB2312"/>
          <w:sz w:val="28"/>
          <w:szCs w:val="28"/>
        </w:rPr>
        <w:t>，执行</w:t>
      </w:r>
      <w:r>
        <w:rPr>
          <w:rFonts w:ascii="仿宋_GB2312" w:hAnsi="仿宋_GB2312" w:eastAsia="仿宋_GB2312" w:cs="仿宋_GB2312"/>
          <w:sz w:val="28"/>
          <w:szCs w:val="28"/>
        </w:rPr>
        <w:t>董事不能履行或者不履行召集股东会会议职责的，由监事召集和主持；监事不召集和主持的，代表十分之一以上表决权的股东可以自行召集和主持首次股东会会议由出资最多的股东召集和主持，依照</w:t>
      </w:r>
      <w:r>
        <w:rPr>
          <w:rFonts w:hint="eastAsia" w:ascii="仿宋_GB2312" w:hAnsi="仿宋_GB2312" w:eastAsia="仿宋_GB2312" w:cs="仿宋_GB2312"/>
          <w:sz w:val="28"/>
          <w:szCs w:val="28"/>
        </w:rPr>
        <w:t>法律及本章程</w:t>
      </w:r>
      <w:r>
        <w:rPr>
          <w:rFonts w:ascii="仿宋_GB2312" w:hAnsi="仿宋_GB2312" w:eastAsia="仿宋_GB2312" w:cs="仿宋_GB2312"/>
          <w:sz w:val="28"/>
          <w:szCs w:val="28"/>
        </w:rPr>
        <w:t>规定行使职权</w:t>
      </w:r>
      <w:r>
        <w:rPr>
          <w:rFonts w:hint="eastAsia" w:ascii="仿宋_GB2312" w:hAnsi="仿宋_GB2312" w:eastAsia="仿宋_GB2312" w:cs="仿宋_GB2312"/>
          <w:sz w:val="28"/>
          <w:szCs w:val="28"/>
        </w:rPr>
        <w:t>。</w:t>
      </w:r>
    </w:p>
    <w:p w14:paraId="2662522B">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第二十二条 </w:t>
      </w:r>
      <w:r>
        <w:rPr>
          <w:rFonts w:ascii="仿宋_GB2312" w:hAnsi="仿宋_GB2312" w:eastAsia="仿宋_GB2312" w:cs="仿宋_GB2312"/>
          <w:sz w:val="28"/>
          <w:szCs w:val="28"/>
        </w:rPr>
        <w:t>股东会会议由股东按照</w:t>
      </w:r>
      <w:r>
        <w:rPr>
          <w:rFonts w:hint="eastAsia" w:ascii="仿宋_GB2312" w:hAnsi="仿宋_GB2312" w:eastAsia="仿宋_GB2312" w:cs="仿宋_GB2312"/>
          <w:sz w:val="28"/>
          <w:szCs w:val="28"/>
        </w:rPr>
        <w:t>实缴</w:t>
      </w:r>
      <w:r>
        <w:rPr>
          <w:rFonts w:ascii="仿宋_GB2312" w:hAnsi="仿宋_GB2312" w:eastAsia="仿宋_GB2312" w:cs="仿宋_GB2312"/>
          <w:sz w:val="28"/>
          <w:szCs w:val="28"/>
        </w:rPr>
        <w:t>出资比例行使表决权</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股东会作出决议，应当经代表过半数表决权的股东通过。</w:t>
      </w:r>
      <w:bookmarkStart w:id="0" w:name="tiao_66_kuan_3"/>
      <w:bookmarkEnd w:id="0"/>
      <w:r>
        <w:rPr>
          <w:rFonts w:ascii="仿宋_GB2312" w:hAnsi="仿宋_GB2312" w:eastAsia="仿宋_GB2312" w:cs="仿宋_GB2312"/>
          <w:sz w:val="28"/>
          <w:szCs w:val="28"/>
        </w:rPr>
        <w:t>股东会作出修改公司章程、增加或者减少注册资本的决议，以及公司合并、分立、解散或者变更公司形式的决议，应当经代表三分之二以上表决权的股东通过</w:t>
      </w:r>
      <w:r>
        <w:rPr>
          <w:rFonts w:hint="eastAsia" w:ascii="仿宋_GB2312" w:hAnsi="仿宋_GB2312" w:eastAsia="仿宋_GB2312" w:cs="仿宋_GB2312"/>
          <w:sz w:val="28"/>
          <w:szCs w:val="28"/>
        </w:rPr>
        <w:t>。</w:t>
      </w:r>
    </w:p>
    <w:p w14:paraId="1746121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第二十三条  公司不设董事会，设执行董事一名。执行董事由股东会选举产生，任期三年，任期届满，连选可以连任。</w:t>
      </w:r>
    </w:p>
    <w:p w14:paraId="0F447A3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第二十四条  执行董事对股东会负责，行使下列职权：</w:t>
      </w:r>
    </w:p>
    <w:p w14:paraId="542F0A7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（一）召集股东会会议，并向股东会报告工作；</w:t>
      </w:r>
    </w:p>
    <w:p w14:paraId="3E39B9E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（二）执行股东会的决议；</w:t>
      </w:r>
    </w:p>
    <w:p w14:paraId="21B251B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（三）决定公司的经营计划和投资方案；</w:t>
      </w:r>
    </w:p>
    <w:p w14:paraId="4E44CEFA">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（四）制订公司的利润分配方案和弥补亏损方案；</w:t>
      </w:r>
    </w:p>
    <w:p w14:paraId="5535EB8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（五）制订公司增加或者减少注册资本以及发行公司债券的方案；</w:t>
      </w:r>
    </w:p>
    <w:p w14:paraId="76A68CE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（六）制订公司合并、分立、解散或者变更公司形式的方案；</w:t>
      </w:r>
    </w:p>
    <w:p w14:paraId="660B5E9A">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（七）决定公司内部管理机构的设置；</w:t>
      </w:r>
    </w:p>
    <w:p w14:paraId="16EE863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（八）决定聘任或者解聘公司经理及其报酬事项，并根据经理的提名决定聘任或者解聘公司副经理、财务负责人及其报酬事项；</w:t>
      </w:r>
    </w:p>
    <w:p w14:paraId="37A7BDB4">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（九）制定公司的基本管理制度；</w:t>
      </w:r>
    </w:p>
    <w:p w14:paraId="2BB9280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（十）公司章程规定或者股东会授予的其他职权。</w:t>
      </w:r>
    </w:p>
    <w:p w14:paraId="11E1CDD9">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条  公司设经理一名，由执行董事决定聘任或解聘。经理对执行董事负责，行使下列职权：</w:t>
      </w:r>
    </w:p>
    <w:p w14:paraId="20A31A7F">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（一）主持公司的生产经营管理工作，组织实施股东决定；</w:t>
      </w:r>
    </w:p>
    <w:p w14:paraId="45FFA02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（二）组织实施公司年度经营计划和投资方案；</w:t>
      </w:r>
    </w:p>
    <w:p w14:paraId="33BB00A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（三）拟订公司内部管理机构设置方案；</w:t>
      </w:r>
    </w:p>
    <w:p w14:paraId="3C6903A8">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（四）拟订公司的基本管理制度；</w:t>
      </w:r>
    </w:p>
    <w:p w14:paraId="15BECE99">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（五）制定公司的具体规章；</w:t>
      </w:r>
    </w:p>
    <w:p w14:paraId="317F92C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（六）提请聘任或者解聘公司副经理、财务负责人；</w:t>
      </w:r>
    </w:p>
    <w:p w14:paraId="2FE5F2AF">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（七）决定聘任或者解聘除应由股东或执行董事决定聘任或者解聘以外的负责管理人员；</w:t>
      </w:r>
    </w:p>
    <w:p w14:paraId="0FBD531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（八）列席执行董事的相关会议；</w:t>
      </w:r>
    </w:p>
    <w:p w14:paraId="6A928C5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（九）股东会或执行董事授予的其他职权。</w:t>
      </w:r>
    </w:p>
    <w:p w14:paraId="13DAAC9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第二十六条  公司</w:t>
      </w:r>
      <w:r>
        <w:rPr>
          <w:rFonts w:hint="eastAsia" w:ascii="仿宋_GB2312" w:hAnsi="仿宋_GB2312" w:eastAsia="仿宋_GB2312" w:cs="仿宋_GB2312"/>
          <w:sz w:val="28"/>
          <w:szCs w:val="28"/>
          <w:highlight w:val="none"/>
        </w:rPr>
        <w:t>不设</w:t>
      </w:r>
      <w:r>
        <w:rPr>
          <w:rFonts w:hint="eastAsia" w:ascii="仿宋_GB2312" w:hAnsi="仿宋_GB2312" w:eastAsia="仿宋_GB2312" w:cs="仿宋_GB2312"/>
          <w:sz w:val="28"/>
          <w:szCs w:val="28"/>
          <w:highlight w:val="none"/>
          <w:lang w:eastAsia="zh-CN"/>
        </w:rPr>
        <w:t>监</w:t>
      </w:r>
      <w:r>
        <w:rPr>
          <w:rFonts w:hint="eastAsia" w:ascii="仿宋_GB2312" w:hAnsi="仿宋_GB2312" w:eastAsia="仿宋_GB2312" w:cs="仿宋_GB2312"/>
          <w:sz w:val="28"/>
          <w:szCs w:val="28"/>
          <w:highlight w:val="none"/>
        </w:rPr>
        <w:t>事会，</w:t>
      </w:r>
      <w:r>
        <w:rPr>
          <w:rFonts w:hint="eastAsia" w:ascii="仿宋_GB2312" w:hAnsi="仿宋_GB2312" w:eastAsia="仿宋_GB2312" w:cs="仿宋_GB2312"/>
          <w:sz w:val="28"/>
          <w:szCs w:val="28"/>
        </w:rPr>
        <w:t>设监事一名。监事由股东会选举产生，任期三年，任期届满，连选可以连任。执行董事、高级管理人员不得兼任监事。</w:t>
      </w:r>
    </w:p>
    <w:p w14:paraId="538D9DF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第二十七条  监事行使下列职权：</w:t>
      </w:r>
    </w:p>
    <w:p w14:paraId="3AD74C2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（一）检查公司财务；</w:t>
      </w:r>
    </w:p>
    <w:p w14:paraId="1D10D7B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（二）对执行董事、高级管理人员执行公司职务的行为进行监督，对违反法律、行政法规、公司章程或者股东决定的执行董事、高级管理人员提出罢免的建议；</w:t>
      </w:r>
    </w:p>
    <w:p w14:paraId="6919422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（三）当执行董事、高级管理人员的行为损害公司的利益时，要求其予以纠正；</w:t>
      </w:r>
    </w:p>
    <w:p w14:paraId="77E6490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（四）提议召开临时股东会议；</w:t>
      </w:r>
    </w:p>
    <w:p w14:paraId="3DB878E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（五）向股东提出提案；</w:t>
      </w:r>
    </w:p>
    <w:p w14:paraId="07FC221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（六）依法对执行董事、高级管理人员提起诉讼；</w:t>
      </w:r>
    </w:p>
    <w:p w14:paraId="0919456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（七）公司章程规定的其他职权。</w:t>
      </w:r>
    </w:p>
    <w:p w14:paraId="7AE03FC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监事可以对执行董事决定事项提出质询或者建议。</w:t>
      </w:r>
    </w:p>
    <w:p w14:paraId="1A3A2A50">
      <w:pPr>
        <w:spacing w:line="360" w:lineRule="auto"/>
        <w:rPr>
          <w:rFonts w:hint="eastAsia" w:ascii="仿宋_GB2312" w:hAnsi="仿宋_GB2312" w:eastAsia="仿宋_GB2312" w:cs="仿宋_GB2312"/>
          <w:sz w:val="28"/>
          <w:szCs w:val="28"/>
        </w:rPr>
      </w:pPr>
    </w:p>
    <w:p w14:paraId="67FAB93A">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第七章 公司的法定代表人</w:t>
      </w:r>
    </w:p>
    <w:p w14:paraId="4462564F">
      <w:pPr>
        <w:spacing w:line="360" w:lineRule="auto"/>
        <w:ind w:firstLine="560" w:firstLineChars="200"/>
        <w:rPr>
          <w:rFonts w:hint="eastAsia" w:ascii="仿宋_GB2312" w:hAnsi="仿宋_GB2312" w:eastAsia="仿宋_GB2312" w:cs="仿宋_GB2312"/>
          <w:sz w:val="28"/>
          <w:szCs w:val="28"/>
        </w:rPr>
      </w:pPr>
    </w:p>
    <w:p w14:paraId="56332ED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第二十八条  公司的法定代表人由执行董事担任。</w:t>
      </w:r>
    </w:p>
    <w:p w14:paraId="108EB299">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第二十九条  </w:t>
      </w:r>
      <w:r>
        <w:rPr>
          <w:rFonts w:ascii="仿宋_GB2312" w:hAnsi="仿宋_GB2312" w:eastAsia="仿宋_GB2312" w:cs="仿宋_GB2312"/>
          <w:sz w:val="28"/>
          <w:szCs w:val="28"/>
        </w:rPr>
        <w:t>法定代表人以公司名义从事的民事活动，其法律后果由公司承受</w:t>
      </w:r>
      <w:r>
        <w:rPr>
          <w:rFonts w:hint="eastAsia" w:ascii="仿宋_GB2312" w:hAnsi="仿宋_GB2312" w:eastAsia="仿宋_GB2312" w:cs="仿宋_GB2312"/>
          <w:sz w:val="28"/>
          <w:szCs w:val="28"/>
        </w:rPr>
        <w:t>。法定代表人在国家法律、法规以及公司章程规定的权限范围内行使职权、履行义务。</w:t>
      </w:r>
    </w:p>
    <w:p w14:paraId="2D58403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十条  法定代表人变更，应当自变更决定作出之日起30日内向登记机关申请办理变更登记。</w:t>
      </w:r>
    </w:p>
    <w:p w14:paraId="47B2D1D5">
      <w:pPr>
        <w:spacing w:line="360" w:lineRule="auto"/>
        <w:jc w:val="center"/>
        <w:rPr>
          <w:rFonts w:hint="eastAsia" w:ascii="仿宋_GB2312" w:hAnsi="仿宋_GB2312" w:eastAsia="仿宋_GB2312" w:cs="仿宋_GB2312"/>
          <w:sz w:val="28"/>
          <w:szCs w:val="28"/>
        </w:rPr>
      </w:pPr>
    </w:p>
    <w:p w14:paraId="4C9A8C0C">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第八章 财务、会计、利润分配及审计</w:t>
      </w:r>
    </w:p>
    <w:p w14:paraId="47BBD499">
      <w:pPr>
        <w:spacing w:line="360" w:lineRule="auto"/>
        <w:ind w:firstLine="560" w:firstLineChars="200"/>
        <w:rPr>
          <w:rFonts w:hint="eastAsia" w:ascii="仿宋_GB2312" w:hAnsi="仿宋_GB2312" w:eastAsia="仿宋_GB2312" w:cs="仿宋_GB2312"/>
          <w:sz w:val="28"/>
          <w:szCs w:val="28"/>
        </w:rPr>
      </w:pPr>
    </w:p>
    <w:p w14:paraId="146112D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第三十一条  公司应当依照法律、行政法规和国务院财政部门的规定建立本公司的财务、会计制度。公司财务和会计工作应接受监事的监督。</w:t>
      </w:r>
    </w:p>
    <w:p w14:paraId="61D6EEF4">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第三十二条  公司会计年度采用公历年度，即每年自1月1日起至12月31日止。公司应当在每一会计年度终了时编制财务会计报告，并依法经会计师事务所审计。财务会计报告应当依照法律、行政法规和国务院财政部门的规定制作。</w:t>
      </w:r>
    </w:p>
    <w:p w14:paraId="7E58234F">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第三十三条  公司分配当年税后利润时，应当提取利润的百分之十列入公司法定公积金。公司法定公积金累计额为公司注册资本的百分之五十以上的，可以不再提取。公司的法定公积金不足以弥补以前年度亏损的，在依照前款规定提取法定公积金之前，应当先用当年利润弥补亏损。公司从税后利润中提取法定公积金后，经股东决定，还可以从税后利润中提取任意公积金。公司弥补亏损和提取公积金后所余税后利润，按照股东的实缴出资比例进行分配。</w:t>
      </w:r>
    </w:p>
    <w:p w14:paraId="1F201B3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第三十四条  公司的公积金用于弥补公司的亏损、扩大公司生产经营或者转为增加公司注册资本。</w:t>
      </w:r>
    </w:p>
    <w:p w14:paraId="44B7190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第三十五条 公司聘用、解聘承办公司审计业务的会计师事务所，由股东会决定。</w:t>
      </w:r>
    </w:p>
    <w:p w14:paraId="7BDC010F">
      <w:pPr>
        <w:spacing w:line="360" w:lineRule="auto"/>
        <w:jc w:val="center"/>
        <w:rPr>
          <w:rFonts w:hint="eastAsia" w:ascii="仿宋_GB2312" w:hAnsi="仿宋_GB2312" w:eastAsia="仿宋_GB2312" w:cs="仿宋_GB2312"/>
          <w:sz w:val="28"/>
          <w:szCs w:val="28"/>
        </w:rPr>
      </w:pPr>
    </w:p>
    <w:p w14:paraId="065A441C">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第九章 劳动用工制度</w:t>
      </w:r>
    </w:p>
    <w:p w14:paraId="013D1D8E">
      <w:pPr>
        <w:spacing w:line="360" w:lineRule="auto"/>
        <w:ind w:firstLine="560" w:firstLineChars="200"/>
        <w:rPr>
          <w:rFonts w:hint="eastAsia" w:ascii="仿宋_GB2312" w:hAnsi="仿宋_GB2312" w:eastAsia="仿宋_GB2312" w:cs="仿宋_GB2312"/>
          <w:sz w:val="28"/>
          <w:szCs w:val="28"/>
        </w:rPr>
      </w:pPr>
    </w:p>
    <w:p w14:paraId="5C541A2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w:t>
      </w:r>
      <w:r>
        <w:rPr>
          <w:rFonts w:hint="eastAsia" w:ascii="仿宋_GB2312" w:hAnsi="仿宋_GB2312" w:eastAsia="仿宋_GB2312" w:cs="仿宋_GB2312"/>
          <w:sz w:val="28"/>
          <w:szCs w:val="28"/>
          <w:lang w:eastAsia="zh-Hans"/>
        </w:rPr>
        <w:t>六</w:t>
      </w:r>
      <w:r>
        <w:rPr>
          <w:rFonts w:hint="eastAsia" w:ascii="仿宋_GB2312" w:hAnsi="仿宋_GB2312" w:eastAsia="仿宋_GB2312" w:cs="仿宋_GB2312"/>
          <w:sz w:val="28"/>
          <w:szCs w:val="28"/>
        </w:rPr>
        <w:t>条 公司必须保护职工的合法权益，依法与职工签订劳动合同，参加社会保险，加强劳动保护，实现安全生产。公司采用多种形式，加强公司职工的职业教育和岗位培训，提高职工素质。</w:t>
      </w:r>
    </w:p>
    <w:p w14:paraId="3B58D8E7">
      <w:pPr>
        <w:spacing w:line="360" w:lineRule="auto"/>
        <w:jc w:val="center"/>
        <w:rPr>
          <w:rFonts w:hint="eastAsia" w:ascii="仿宋_GB2312" w:hAnsi="仿宋_GB2312" w:eastAsia="仿宋_GB2312" w:cs="仿宋_GB2312"/>
          <w:sz w:val="28"/>
          <w:szCs w:val="28"/>
        </w:rPr>
      </w:pPr>
    </w:p>
    <w:p w14:paraId="35A2DB05">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第十章 公司的合并、分立</w:t>
      </w:r>
    </w:p>
    <w:p w14:paraId="5200D3A2">
      <w:pPr>
        <w:spacing w:line="360" w:lineRule="auto"/>
        <w:ind w:firstLine="560" w:firstLineChars="200"/>
        <w:rPr>
          <w:rFonts w:hint="eastAsia" w:ascii="仿宋_GB2312" w:hAnsi="仿宋_GB2312" w:eastAsia="仿宋_GB2312" w:cs="仿宋_GB2312"/>
          <w:sz w:val="28"/>
          <w:szCs w:val="28"/>
        </w:rPr>
      </w:pPr>
    </w:p>
    <w:p w14:paraId="1833B4C5">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第三十七条  公司合并，应当由合并各方签订合并协议，并编制资产负债表及财产清单。公司应当自作出合并决议之日起十日内通知债权人，并于三十日内在报纸上或者国家企业信用信息公示系统公告。公司自公告之日起45日后方可申请变更登记。</w:t>
      </w:r>
    </w:p>
    <w:p w14:paraId="473BF7E2">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第三十</w:t>
      </w:r>
      <w:r>
        <w:rPr>
          <w:rFonts w:hint="eastAsia" w:ascii="仿宋_GB2312" w:hAnsi="仿宋_GB2312" w:eastAsia="仿宋_GB2312" w:cs="仿宋_GB2312"/>
          <w:sz w:val="28"/>
          <w:szCs w:val="28"/>
          <w:highlight w:val="none"/>
        </w:rPr>
        <w:t>八</w:t>
      </w:r>
      <w:r>
        <w:rPr>
          <w:rFonts w:hint="eastAsia" w:ascii="仿宋_GB2312" w:hAnsi="仿宋_GB2312" w:eastAsia="仿宋_GB2312" w:cs="仿宋_GB2312"/>
          <w:sz w:val="28"/>
          <w:szCs w:val="28"/>
        </w:rPr>
        <w:t>条  公司分立，其财产作相应的分割。公司分立，应当编制资产负债表及财产清单。公司应当自作出分立决议之日起十日内通知债权人，并于三十日内在报纸上</w:t>
      </w:r>
      <w:r>
        <w:rPr>
          <w:rFonts w:ascii="仿宋_GB2312" w:hAnsi="仿宋_GB2312" w:eastAsia="仿宋_GB2312" w:cs="仿宋_GB2312"/>
          <w:sz w:val="28"/>
          <w:szCs w:val="28"/>
        </w:rPr>
        <w:t>或者国家企业信用信息公示系统</w:t>
      </w:r>
      <w:r>
        <w:rPr>
          <w:rFonts w:hint="eastAsia" w:ascii="仿宋_GB2312" w:hAnsi="仿宋_GB2312" w:eastAsia="仿宋_GB2312" w:cs="仿宋_GB2312"/>
          <w:sz w:val="28"/>
          <w:szCs w:val="28"/>
        </w:rPr>
        <w:t>公告。公司分立前的债务由分立后的公司承担连带责任。但是，公司在分立前与债权人就债务清偿达成的书面协议另有约定的除外。</w:t>
      </w:r>
    </w:p>
    <w:p w14:paraId="745C06B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rPr>
        <w:t>第三十</w:t>
      </w: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highlight w:val="none"/>
        </w:rPr>
        <w:t>条  公司合并或者分立，登记事项发生变更的，应当依</w:t>
      </w:r>
      <w:r>
        <w:rPr>
          <w:rFonts w:hint="eastAsia" w:ascii="仿宋_GB2312" w:hAnsi="仿宋_GB2312" w:eastAsia="仿宋_GB2312" w:cs="仿宋_GB2312"/>
          <w:sz w:val="28"/>
          <w:szCs w:val="28"/>
        </w:rPr>
        <w:t>法向登记机关办理变更登记；公司解散的，应当依法办理公司注销登记；设立新公司的，应当依法办理公司设立登记。</w:t>
      </w:r>
    </w:p>
    <w:p w14:paraId="2F3437C6">
      <w:pPr>
        <w:spacing w:line="360" w:lineRule="auto"/>
        <w:jc w:val="center"/>
        <w:rPr>
          <w:rFonts w:hint="eastAsia" w:ascii="仿宋_GB2312" w:hAnsi="仿宋_GB2312" w:eastAsia="仿宋_GB2312" w:cs="仿宋_GB2312"/>
          <w:sz w:val="28"/>
          <w:szCs w:val="28"/>
        </w:rPr>
      </w:pPr>
    </w:p>
    <w:p w14:paraId="5DA0A294">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第十一章 公司的解散和清算 </w:t>
      </w:r>
    </w:p>
    <w:p w14:paraId="2CE40B9F">
      <w:pPr>
        <w:spacing w:line="360" w:lineRule="auto"/>
        <w:ind w:firstLine="560" w:firstLineChars="200"/>
        <w:rPr>
          <w:rFonts w:hint="eastAsia" w:ascii="仿宋_GB2312" w:hAnsi="仿宋_GB2312" w:eastAsia="仿宋_GB2312" w:cs="仿宋_GB2312"/>
          <w:sz w:val="28"/>
          <w:szCs w:val="28"/>
        </w:rPr>
      </w:pPr>
    </w:p>
    <w:p w14:paraId="4ACD1A17">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四十</w:t>
      </w:r>
      <w:r>
        <w:rPr>
          <w:rFonts w:hint="eastAsia" w:ascii="仿宋_GB2312" w:hAnsi="仿宋_GB2312" w:eastAsia="仿宋_GB2312" w:cs="仿宋_GB2312"/>
          <w:sz w:val="28"/>
          <w:szCs w:val="28"/>
        </w:rPr>
        <w:t>条  公司有下列情况之一的，应当解散：</w:t>
      </w:r>
    </w:p>
    <w:p w14:paraId="23FECAD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（一）公司章程规定的营业期限届满；</w:t>
      </w:r>
    </w:p>
    <w:p w14:paraId="6F86B4F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（二）股东会</w:t>
      </w:r>
      <w:r>
        <w:rPr>
          <w:rFonts w:hint="eastAsia" w:ascii="仿宋_GB2312" w:hAnsi="仿宋_GB2312" w:eastAsia="仿宋_GB2312" w:cs="仿宋_GB2312"/>
          <w:sz w:val="28"/>
          <w:szCs w:val="28"/>
          <w:lang w:eastAsia="zh-Hans"/>
        </w:rPr>
        <w:t>决议</w:t>
      </w:r>
      <w:r>
        <w:rPr>
          <w:rFonts w:hint="eastAsia" w:ascii="仿宋_GB2312" w:hAnsi="仿宋_GB2312" w:eastAsia="仿宋_GB2312" w:cs="仿宋_GB2312"/>
          <w:sz w:val="28"/>
          <w:szCs w:val="28"/>
        </w:rPr>
        <w:t>解散；</w:t>
      </w:r>
    </w:p>
    <w:p w14:paraId="1754E16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（三）因公司合并或者分立需要解散；</w:t>
      </w:r>
    </w:p>
    <w:p w14:paraId="7D49AD46">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（四）依法被吊销营业执照、责令关闭或者被撤销；</w:t>
      </w:r>
    </w:p>
    <w:p w14:paraId="6B9F6A12">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（五）人民法院依照《公司法》的规定予以解散。</w:t>
      </w:r>
    </w:p>
    <w:p w14:paraId="7D6C967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条  公司因本章程第</w:t>
      </w:r>
      <w:r>
        <w:rPr>
          <w:rFonts w:hint="eastAsia" w:ascii="仿宋_GB2312" w:hAnsi="仿宋_GB2312" w:eastAsia="仿宋_GB2312" w:cs="仿宋_GB2312"/>
          <w:sz w:val="28"/>
          <w:szCs w:val="28"/>
          <w:lang w:val="en-US" w:eastAsia="zh-CN"/>
        </w:rPr>
        <w:t>四十</w:t>
      </w:r>
      <w:r>
        <w:rPr>
          <w:rFonts w:hint="eastAsia" w:ascii="仿宋_GB2312" w:hAnsi="仿宋_GB2312" w:eastAsia="仿宋_GB2312" w:cs="仿宋_GB2312"/>
          <w:sz w:val="28"/>
          <w:szCs w:val="28"/>
        </w:rPr>
        <w:t>条第（一）、（二）、（四）、（五）项规定而解散的，应当在解散事由出现之日起十五日内成立清算组，开始清算。清算组由股东会决议的人选组成。</w:t>
      </w:r>
    </w:p>
    <w:p w14:paraId="230315A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rPr>
        <w:t xml:space="preserve">条  清算组在清算期间行使下列职权： </w:t>
      </w:r>
    </w:p>
    <w:p w14:paraId="675D0E30">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（一）清理公司财产，分别编制资产负债表和财产清单；</w:t>
      </w:r>
    </w:p>
    <w:p w14:paraId="4AFB137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（二）通知、公告债权人；</w:t>
      </w:r>
    </w:p>
    <w:p w14:paraId="29DA2CD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（三）处理与清算有关的公司未了结的业务；</w:t>
      </w:r>
    </w:p>
    <w:p w14:paraId="6E2F4F8F">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（四）清缴所欠税款以及清算过程中产生的税款；</w:t>
      </w:r>
    </w:p>
    <w:p w14:paraId="20019DC7">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（五）清理债权、债务；</w:t>
      </w:r>
    </w:p>
    <w:p w14:paraId="515C5F19">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w:t>
      </w:r>
      <w:r>
        <w:rPr>
          <w:rFonts w:ascii="仿宋_GB2312" w:hAnsi="仿宋_GB2312" w:eastAsia="仿宋_GB2312" w:cs="仿宋_GB2312"/>
          <w:sz w:val="28"/>
          <w:szCs w:val="28"/>
        </w:rPr>
        <w:t>分配公司清偿债务后的剩余财产；</w:t>
      </w:r>
    </w:p>
    <w:p w14:paraId="2645258B">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（七）代表公司参与民事诉讼活动。</w:t>
      </w:r>
    </w:p>
    <w:p w14:paraId="76AEB9ED">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四十</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条  清算组应当自成立之日起十日内通知债权人，并于六十日内在报纸上</w:t>
      </w:r>
      <w:r>
        <w:rPr>
          <w:rFonts w:ascii="仿宋_GB2312" w:hAnsi="仿宋_GB2312" w:eastAsia="仿宋_GB2312" w:cs="仿宋_GB2312"/>
          <w:sz w:val="28"/>
          <w:szCs w:val="28"/>
        </w:rPr>
        <w:t>或者国家企业信用信息公示系统</w:t>
      </w:r>
      <w:r>
        <w:rPr>
          <w:rFonts w:hint="eastAsia" w:ascii="仿宋_GB2312" w:hAnsi="仿宋_GB2312" w:eastAsia="仿宋_GB2312" w:cs="仿宋_GB2312"/>
          <w:sz w:val="28"/>
          <w:szCs w:val="28"/>
        </w:rPr>
        <w:t>公告。</w:t>
      </w:r>
    </w:p>
    <w:p w14:paraId="6889692F">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条  清算组在清理公司财产、编制资产负债表和财产清单后，应当制定清算方案，并报股东或者人民法院确认。公司财产在分别支付清算费用、职工的工资、社会保险费用和法定补偿金，缴纳所欠税款，清偿公司债务后的剩余财产，按照股东的出资比例分配。清算期间，公司存续，但不得开展与清算无关的经营活动。公司财产在未依照前款规定清偿前，不得分配给股东。</w:t>
      </w:r>
    </w:p>
    <w:p w14:paraId="5EA3740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条 清算组在清理公司财产、编制资产负债表和财产清单后，发现公司财产不足清偿债务的，应当依法向人民法院申请宣告破产。公司经人民法院裁定宣告破产后，清算组应当将清算事务移交给人民法院。</w:t>
      </w:r>
    </w:p>
    <w:p w14:paraId="3A0E4B2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条 公司清算结束后，清算组应当制作清算报告，报股东或者人民法院确认，并报送公司登记机关，申请注销公司登记，公告公司终止。</w:t>
      </w:r>
    </w:p>
    <w:p w14:paraId="6013A6BD">
      <w:pPr>
        <w:spacing w:line="360" w:lineRule="auto"/>
        <w:jc w:val="center"/>
        <w:rPr>
          <w:rFonts w:hint="eastAsia" w:ascii="仿宋_GB2312" w:hAnsi="仿宋_GB2312" w:eastAsia="仿宋_GB2312" w:cs="仿宋_GB2312"/>
          <w:sz w:val="28"/>
          <w:szCs w:val="28"/>
        </w:rPr>
      </w:pPr>
    </w:p>
    <w:p w14:paraId="179D3244">
      <w:pPr>
        <w:spacing w:line="360"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第十二章 附 则</w:t>
      </w:r>
    </w:p>
    <w:p w14:paraId="52B9D98C">
      <w:pPr>
        <w:spacing w:line="360" w:lineRule="auto"/>
        <w:ind w:firstLine="560" w:firstLineChars="200"/>
        <w:rPr>
          <w:rFonts w:hint="eastAsia" w:ascii="仿宋_GB2312" w:hAnsi="仿宋_GB2312" w:eastAsia="仿宋_GB2312" w:cs="仿宋_GB2312"/>
          <w:sz w:val="28"/>
          <w:szCs w:val="28"/>
        </w:rPr>
      </w:pPr>
    </w:p>
    <w:p w14:paraId="25CCA247">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eastAsia="zh-Hans"/>
        </w:rPr>
        <w:t>七</w:t>
      </w:r>
      <w:r>
        <w:rPr>
          <w:rFonts w:hint="eastAsia" w:ascii="仿宋_GB2312" w:hAnsi="仿宋_GB2312" w:eastAsia="仿宋_GB2312" w:cs="仿宋_GB2312"/>
          <w:sz w:val="28"/>
          <w:szCs w:val="28"/>
        </w:rPr>
        <w:t>条  公司章程的解释权属于公司股东。</w:t>
      </w:r>
    </w:p>
    <w:p w14:paraId="30CA5C3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第四十</w:t>
      </w:r>
      <w:r>
        <w:rPr>
          <w:rFonts w:hint="eastAsia" w:ascii="仿宋_GB2312" w:hAnsi="仿宋_GB2312" w:eastAsia="仿宋_GB2312" w:cs="仿宋_GB2312"/>
          <w:sz w:val="28"/>
          <w:szCs w:val="28"/>
          <w:lang w:eastAsia="zh-Hans"/>
        </w:rPr>
        <w:t>八</w:t>
      </w:r>
      <w:r>
        <w:rPr>
          <w:rFonts w:hint="eastAsia" w:ascii="仿宋_GB2312" w:hAnsi="仿宋_GB2312" w:eastAsia="仿宋_GB2312" w:cs="仿宋_GB2312"/>
          <w:sz w:val="28"/>
          <w:szCs w:val="28"/>
        </w:rPr>
        <w:t>条  公司登记事项以公司登记机关核定的为准。</w:t>
      </w:r>
    </w:p>
    <w:p w14:paraId="3C5BBE5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eastAsia="zh-Hans"/>
        </w:rPr>
        <w:t>四十</w:t>
      </w: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条  本章程所称“以上”、“以内”、“以下”，都含本数；“不满”、“以外”、“超过”不含本数。</w:t>
      </w:r>
    </w:p>
    <w:p w14:paraId="100B6A11">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Hans"/>
        </w:rPr>
        <w:t>十</w:t>
      </w:r>
      <w:r>
        <w:rPr>
          <w:rFonts w:hint="eastAsia" w:ascii="仿宋_GB2312" w:hAnsi="仿宋_GB2312" w:eastAsia="仿宋_GB2312" w:cs="仿宋_GB2312"/>
          <w:sz w:val="28"/>
          <w:szCs w:val="28"/>
        </w:rPr>
        <w:t>条  本章程经全体股东签署后生效。修改本章程，必须经股东</w:t>
      </w:r>
      <w:r>
        <w:rPr>
          <w:rFonts w:hint="eastAsia" w:ascii="仿宋_GB2312" w:hAnsi="仿宋_GB2312" w:eastAsia="仿宋_GB2312" w:cs="仿宋_GB2312"/>
          <w:sz w:val="28"/>
          <w:szCs w:val="28"/>
          <w:lang w:eastAsia="zh-Hans"/>
        </w:rPr>
        <w:t>会</w:t>
      </w:r>
      <w:r>
        <w:rPr>
          <w:rFonts w:hint="eastAsia" w:ascii="仿宋_GB2312" w:hAnsi="仿宋_GB2312" w:eastAsia="仿宋_GB2312" w:cs="仿宋_GB2312"/>
          <w:sz w:val="28"/>
          <w:szCs w:val="28"/>
        </w:rPr>
        <w:t>作出书面决定。修改后的章程应报公司登记机关备案。</w:t>
      </w:r>
    </w:p>
    <w:p w14:paraId="4907494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第</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Hans"/>
        </w:rPr>
        <w:t>十</w:t>
      </w:r>
      <w:r>
        <w:rPr>
          <w:rFonts w:hint="eastAsia" w:ascii="仿宋_GB2312" w:hAnsi="仿宋_GB2312" w:eastAsia="仿宋_GB2312" w:cs="仿宋_GB2312"/>
          <w:sz w:val="28"/>
          <w:szCs w:val="28"/>
          <w:lang w:val="en-US" w:eastAsia="zh-CN"/>
        </w:rPr>
        <w:t>一</w:t>
      </w:r>
      <w:bookmarkStart w:id="1" w:name="_GoBack"/>
      <w:bookmarkEnd w:id="1"/>
      <w:r>
        <w:rPr>
          <w:rFonts w:hint="eastAsia" w:ascii="仿宋_GB2312" w:hAnsi="仿宋_GB2312" w:eastAsia="仿宋_GB2312" w:cs="仿宋_GB2312"/>
          <w:sz w:val="28"/>
          <w:szCs w:val="28"/>
        </w:rPr>
        <w:t>条  本章程未规定的其他事项，适用《公司法》的有关规定。</w:t>
      </w:r>
    </w:p>
    <w:p w14:paraId="300BBECD">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56D122BC">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Hans"/>
        </w:rPr>
        <w:t>全体</w:t>
      </w:r>
      <w:r>
        <w:rPr>
          <w:rFonts w:hint="eastAsia" w:ascii="仿宋_GB2312" w:hAnsi="仿宋_GB2312" w:eastAsia="仿宋_GB2312" w:cs="仿宋_GB2312"/>
          <w:sz w:val="28"/>
          <w:szCs w:val="28"/>
        </w:rPr>
        <w:t>股东</w:t>
      </w:r>
      <w:r>
        <w:rPr>
          <w:rFonts w:hint="eastAsia" w:ascii="仿宋_GB2312" w:hAnsi="仿宋_GB2312" w:eastAsia="仿宋_GB2312" w:cs="仿宋_GB2312"/>
          <w:sz w:val="28"/>
          <w:szCs w:val="28"/>
          <w:lang w:eastAsia="zh-Hans"/>
        </w:rPr>
        <w:t>签名</w:t>
      </w:r>
      <w:r>
        <w:rPr>
          <w:rFonts w:hint="eastAsia" w:ascii="仿宋_GB2312" w:hAnsi="仿宋_GB2312" w:eastAsia="仿宋_GB2312" w:cs="仿宋_GB2312"/>
          <w:sz w:val="28"/>
          <w:szCs w:val="28"/>
        </w:rPr>
        <w:t>：</w:t>
      </w:r>
    </w:p>
    <w:p w14:paraId="0F08981D">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签署日期：</w:t>
      </w:r>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45EC0">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B9724">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E0B9724">
                    <w:pPr>
                      <w:pStyle w:val="3"/>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1</w:t>
                    </w:r>
                    <w:r>
                      <w:rPr>
                        <w:rFonts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3FBA6DF"/>
    <w:rsid w:val="002408DF"/>
    <w:rsid w:val="00321228"/>
    <w:rsid w:val="00684A23"/>
    <w:rsid w:val="007B1FBD"/>
    <w:rsid w:val="007F5102"/>
    <w:rsid w:val="008228F4"/>
    <w:rsid w:val="00A14390"/>
    <w:rsid w:val="00AF584C"/>
    <w:rsid w:val="00B1782B"/>
    <w:rsid w:val="35542769"/>
    <w:rsid w:val="542C5B54"/>
    <w:rsid w:val="5FA06FFE"/>
    <w:rsid w:val="6735BF07"/>
    <w:rsid w:val="6EDFF951"/>
    <w:rsid w:val="78676DC5"/>
    <w:rsid w:val="7995362B"/>
    <w:rsid w:val="7FF8F503"/>
    <w:rsid w:val="93FBA6DF"/>
    <w:rsid w:val="BD5F5CAD"/>
    <w:rsid w:val="BDEE8DA6"/>
    <w:rsid w:val="BEF7C1A6"/>
    <w:rsid w:val="DBDEB039"/>
    <w:rsid w:val="E9F71C50"/>
    <w:rsid w:val="EEDF3AD1"/>
    <w:rsid w:val="EFEE75B1"/>
    <w:rsid w:val="F7FD516C"/>
    <w:rsid w:val="FD732CDD"/>
    <w:rsid w:val="FDFFD8DE"/>
    <w:rsid w:val="FEFE1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 w:type="paragraph" w:customStyle="1" w:styleId="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5521</Words>
  <Characters>5528</Characters>
  <Lines>51</Lines>
  <Paragraphs>14</Paragraphs>
  <TotalTime>6</TotalTime>
  <ScaleCrop>false</ScaleCrop>
  <LinksUpToDate>false</LinksUpToDate>
  <CharactersWithSpaces>5647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2025-09-14T18:06:00Z</dcterms:created>
  <dc:creator>唐海涛｜瑞利恒律师</dc:creator>
  <cp:lastModifiedBy>阳台有</cp:lastModifiedBy>
  <dcterms:modified xsi:type="dcterms:W3CDTF">2026-07-25T02:56:24Z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2F3E8D76AFA12B9F08956D69F0AA115B_42</vt:lpwstr>
  </property>
  <property fmtid="{D5CDD505-2E9C-101B-9397-08002B2CF9AE}" pid="4" name="KSOTemplateDocerSaveRecord">
    <vt:lpwstr>eyJoZGlkIjoiMmZjYTNjNTA2ZTY1MTQ2N2QwNzRmOGQ3NDBmZjhmYTIiLCJ1c2VySWQiOiI0NTQyNTE0MjQifQ==</vt:lpwstr>
  </property>
</Properties>
</file>